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910" w:type="dxa"/>
        <w:tblLook w:val="04A0" w:firstRow="1" w:lastRow="0" w:firstColumn="1" w:lastColumn="0" w:noHBand="0" w:noVBand="1"/>
      </w:tblPr>
      <w:tblGrid>
        <w:gridCol w:w="3823"/>
        <w:gridCol w:w="7087"/>
      </w:tblGrid>
      <w:tr w:rsidR="00117774" w:rsidRPr="00117774" w14:paraId="6A9BEF3D" w14:textId="77777777" w:rsidTr="00CA4B26">
        <w:tc>
          <w:tcPr>
            <w:tcW w:w="3823" w:type="dxa"/>
          </w:tcPr>
          <w:p w14:paraId="715CBC25" w14:textId="77777777" w:rsidR="00117774" w:rsidRPr="00117774" w:rsidRDefault="00117774">
            <w:pPr>
              <w:rPr>
                <w:sz w:val="28"/>
              </w:rPr>
            </w:pPr>
            <w:r w:rsidRPr="00117774">
              <w:rPr>
                <w:sz w:val="28"/>
              </w:rPr>
              <w:t>Titre clair et précis (afin d’identifier) et courte description</w:t>
            </w:r>
          </w:p>
        </w:tc>
        <w:tc>
          <w:tcPr>
            <w:tcW w:w="7087" w:type="dxa"/>
          </w:tcPr>
          <w:p w14:paraId="2D59D7D8" w14:textId="77777777" w:rsidR="00117774" w:rsidRDefault="00F6547B">
            <w:pPr>
              <w:rPr>
                <w:sz w:val="28"/>
              </w:rPr>
            </w:pPr>
            <w:r>
              <w:rPr>
                <w:sz w:val="28"/>
              </w:rPr>
              <w:t>Théâtre d</w:t>
            </w:r>
            <w:r w:rsidR="00BD6BEE">
              <w:rPr>
                <w:sz w:val="28"/>
              </w:rPr>
              <w:t>e marionnettes 3</w:t>
            </w:r>
            <w:r w:rsidR="00BD6BEE" w:rsidRPr="00DF5D27">
              <w:rPr>
                <w:sz w:val="28"/>
                <w:vertAlign w:val="superscript"/>
              </w:rPr>
              <w:t>e</w:t>
            </w:r>
          </w:p>
          <w:p w14:paraId="0DAAC032" w14:textId="2AFB0DC0" w:rsidR="00DF5D27" w:rsidRPr="00117774" w:rsidRDefault="00DF5D27">
            <w:pPr>
              <w:rPr>
                <w:sz w:val="28"/>
              </w:rPr>
            </w:pPr>
            <w:r>
              <w:rPr>
                <w:sz w:val="28"/>
              </w:rPr>
              <w:t>Sphero</w:t>
            </w:r>
            <w:bookmarkStart w:id="0" w:name="_GoBack"/>
            <w:bookmarkEnd w:id="0"/>
          </w:p>
        </w:tc>
      </w:tr>
      <w:tr w:rsidR="00117774" w:rsidRPr="00117774" w14:paraId="582526B7" w14:textId="77777777" w:rsidTr="00CA4B26">
        <w:tc>
          <w:tcPr>
            <w:tcW w:w="3823" w:type="dxa"/>
          </w:tcPr>
          <w:p w14:paraId="7B35F663" w14:textId="77777777" w:rsidR="00117774" w:rsidRPr="00117774" w:rsidRDefault="00117774">
            <w:pPr>
              <w:rPr>
                <w:sz w:val="28"/>
              </w:rPr>
            </w:pPr>
            <w:r w:rsidRPr="00117774">
              <w:rPr>
                <w:sz w:val="28"/>
              </w:rPr>
              <w:t>Matière à l’étude</w:t>
            </w:r>
          </w:p>
        </w:tc>
        <w:tc>
          <w:tcPr>
            <w:tcW w:w="7087" w:type="dxa"/>
          </w:tcPr>
          <w:p w14:paraId="603A1E23" w14:textId="77777777" w:rsidR="00CA4B26" w:rsidRDefault="00CA4B26">
            <w:pPr>
              <w:rPr>
                <w:sz w:val="28"/>
              </w:rPr>
            </w:pPr>
            <w:r>
              <w:rPr>
                <w:sz w:val="28"/>
              </w:rPr>
              <w:t xml:space="preserve">Éducation artistique </w:t>
            </w:r>
            <w:r w:rsidR="00BD6BEE">
              <w:rPr>
                <w:sz w:val="28"/>
              </w:rPr>
              <w:t>3</w:t>
            </w:r>
            <w:r w:rsidRPr="00CA4B26">
              <w:rPr>
                <w:sz w:val="28"/>
                <w:vertAlign w:val="superscript"/>
              </w:rPr>
              <w:t>e</w:t>
            </w:r>
            <w:r>
              <w:rPr>
                <w:sz w:val="28"/>
              </w:rPr>
              <w:t xml:space="preserve"> </w:t>
            </w:r>
          </w:p>
          <w:p w14:paraId="30A30D64" w14:textId="77777777" w:rsidR="00F6547B" w:rsidRDefault="00F6547B">
            <w:pPr>
              <w:rPr>
                <w:sz w:val="28"/>
              </w:rPr>
            </w:pPr>
            <w:r>
              <w:rPr>
                <w:sz w:val="28"/>
              </w:rPr>
              <w:t>Art dramatique</w:t>
            </w:r>
          </w:p>
          <w:p w14:paraId="7A4585A6" w14:textId="77777777" w:rsidR="0034340E" w:rsidRPr="00117774" w:rsidRDefault="0034340E">
            <w:pPr>
              <w:rPr>
                <w:sz w:val="28"/>
              </w:rPr>
            </w:pPr>
            <w:r>
              <w:rPr>
                <w:sz w:val="28"/>
              </w:rPr>
              <w:t>Art visuel</w:t>
            </w:r>
          </w:p>
        </w:tc>
      </w:tr>
      <w:tr w:rsidR="00117774" w:rsidRPr="00117774" w14:paraId="37217AE7" w14:textId="77777777" w:rsidTr="00CA4B26">
        <w:tc>
          <w:tcPr>
            <w:tcW w:w="3823" w:type="dxa"/>
          </w:tcPr>
          <w:p w14:paraId="244B2C99" w14:textId="77777777" w:rsidR="00117774" w:rsidRPr="00117774" w:rsidRDefault="00117774">
            <w:pPr>
              <w:rPr>
                <w:sz w:val="28"/>
                <w:lang w:val="en-CA"/>
              </w:rPr>
            </w:pPr>
            <w:r w:rsidRPr="00117774">
              <w:rPr>
                <w:sz w:val="28"/>
              </w:rPr>
              <w:t xml:space="preserve">Attentes </w:t>
            </w:r>
            <w:r w:rsidRPr="00117774">
              <w:rPr>
                <w:rFonts w:ascii="Calibri" w:hAnsi="Calibri" w:cs="Calibri"/>
                <w:sz w:val="28"/>
              </w:rPr>
              <w:t xml:space="preserve">/ </w:t>
            </w:r>
            <w:proofErr w:type="spellStart"/>
            <w:r w:rsidRPr="00117774">
              <w:rPr>
                <w:rFonts w:ascii="Calibri" w:hAnsi="Calibri" w:cs="Calibri"/>
                <w:sz w:val="28"/>
                <w:lang w:val="en-CA"/>
              </w:rPr>
              <w:t>contenus</w:t>
            </w:r>
            <w:proofErr w:type="spellEnd"/>
            <w:r w:rsidRPr="00117774">
              <w:rPr>
                <w:rFonts w:ascii="Calibri" w:hAnsi="Calibri" w:cs="Calibri"/>
                <w:sz w:val="28"/>
                <w:lang w:val="en-CA"/>
              </w:rPr>
              <w:t xml:space="preserve"> </w:t>
            </w:r>
            <w:proofErr w:type="spellStart"/>
            <w:r w:rsidRPr="00117774">
              <w:rPr>
                <w:rFonts w:ascii="Calibri" w:hAnsi="Calibri" w:cs="Calibri"/>
                <w:sz w:val="28"/>
                <w:lang w:val="en-CA"/>
              </w:rPr>
              <w:t>touchés</w:t>
            </w:r>
            <w:proofErr w:type="spellEnd"/>
          </w:p>
        </w:tc>
        <w:tc>
          <w:tcPr>
            <w:tcW w:w="7087" w:type="dxa"/>
          </w:tcPr>
          <w:p w14:paraId="72FAB58E" w14:textId="77777777" w:rsidR="00117774" w:rsidRDefault="00CA4B26" w:rsidP="00790B65">
            <w:pPr>
              <w:jc w:val="both"/>
              <w:rPr>
                <w:sz w:val="28"/>
              </w:rPr>
            </w:pPr>
            <w:r w:rsidRPr="0034340E">
              <w:rPr>
                <w:b/>
                <w:sz w:val="28"/>
                <w:u w:val="single"/>
              </w:rPr>
              <w:t>Attente :</w:t>
            </w:r>
            <w:r>
              <w:rPr>
                <w:sz w:val="28"/>
              </w:rPr>
              <w:t xml:space="preserve"> </w:t>
            </w:r>
            <w:r w:rsidR="00F6547B">
              <w:rPr>
                <w:sz w:val="28"/>
              </w:rPr>
              <w:t>réaliser diverses productions dramatiques en appliquant les fondements à l’étude et en suivant le processus de création artistique</w:t>
            </w:r>
          </w:p>
          <w:p w14:paraId="17140FD6" w14:textId="77777777" w:rsidR="00CA4B26" w:rsidRDefault="00CA4B26" w:rsidP="00790B65">
            <w:pPr>
              <w:jc w:val="both"/>
              <w:rPr>
                <w:sz w:val="28"/>
              </w:rPr>
            </w:pPr>
            <w:r w:rsidRPr="0034340E">
              <w:rPr>
                <w:b/>
                <w:sz w:val="28"/>
                <w:u w:val="single"/>
              </w:rPr>
              <w:t>Contenus :</w:t>
            </w:r>
            <w:r w:rsidR="00F6547B">
              <w:rPr>
                <w:sz w:val="28"/>
              </w:rPr>
              <w:t xml:space="preserve"> recourir au processus de création artistique pour réaliser diverses productions dramatiques</w:t>
            </w:r>
          </w:p>
          <w:p w14:paraId="77B032F8" w14:textId="77777777" w:rsidR="00F6547B" w:rsidRDefault="00F6547B" w:rsidP="00790B65">
            <w:pPr>
              <w:jc w:val="both"/>
              <w:rPr>
                <w:sz w:val="28"/>
              </w:rPr>
            </w:pPr>
            <w:r>
              <w:rPr>
                <w:sz w:val="28"/>
              </w:rPr>
              <w:t xml:space="preserve">: </w:t>
            </w:r>
            <w:r w:rsidR="00BD6BEE">
              <w:rPr>
                <w:sz w:val="28"/>
              </w:rPr>
              <w:t>donner une forme de représentation (p. ex., tableau vivant, mime, saynète) à des extraits de textes (p. ex., chanson, récit, marche à suivre) provenant de différentes époques et cultures (p. ex., une journée dans la vie de mon grand-père)</w:t>
            </w:r>
          </w:p>
          <w:p w14:paraId="3DA05712" w14:textId="77777777" w:rsidR="00BD6BEE" w:rsidRDefault="00BD6BEE" w:rsidP="00790B65">
            <w:pPr>
              <w:jc w:val="both"/>
              <w:rPr>
                <w:sz w:val="28"/>
              </w:rPr>
            </w:pPr>
            <w:r>
              <w:rPr>
                <w:sz w:val="28"/>
              </w:rPr>
              <w:t>: interpréter un personnage en variant le temps et le lieu (p. ex., ma première journée à la maternelle et en 3</w:t>
            </w:r>
            <w:r w:rsidRPr="00BD6BEE">
              <w:rPr>
                <w:sz w:val="28"/>
                <w:vertAlign w:val="superscript"/>
              </w:rPr>
              <w:t>e</w:t>
            </w:r>
            <w:r>
              <w:rPr>
                <w:sz w:val="28"/>
              </w:rPr>
              <w:t xml:space="preserve"> année, une grenouille et un poisson dans un étang avant et après un déversement toxique, Le rat de ville et le rat des champs de Jean de La Fontaine</w:t>
            </w:r>
            <w:r w:rsidR="00E5736E">
              <w:rPr>
                <w:sz w:val="28"/>
              </w:rPr>
              <w:t>)</w:t>
            </w:r>
          </w:p>
          <w:p w14:paraId="4B39147F" w14:textId="77777777" w:rsidR="004E521D" w:rsidRDefault="004E521D" w:rsidP="00790B65">
            <w:pPr>
              <w:jc w:val="both"/>
              <w:rPr>
                <w:sz w:val="28"/>
              </w:rPr>
            </w:pPr>
            <w:r w:rsidRPr="004E521D">
              <w:rPr>
                <w:b/>
                <w:sz w:val="28"/>
                <w:u w:val="single"/>
              </w:rPr>
              <w:t>Attente :</w:t>
            </w:r>
            <w:r>
              <w:rPr>
                <w:sz w:val="28"/>
              </w:rPr>
              <w:t xml:space="preserve"> produire diverses œuvres en deux ou trois dimensions en appliquant les fondements à l’étude et en suivant le processus de création artistique</w:t>
            </w:r>
          </w:p>
          <w:p w14:paraId="67D42680" w14:textId="77777777" w:rsidR="004E521D" w:rsidRDefault="004E521D" w:rsidP="00790B65">
            <w:pPr>
              <w:jc w:val="both"/>
              <w:rPr>
                <w:sz w:val="28"/>
              </w:rPr>
            </w:pPr>
            <w:r w:rsidRPr="004E521D">
              <w:rPr>
                <w:b/>
                <w:sz w:val="28"/>
                <w:u w:val="single"/>
              </w:rPr>
              <w:t>Contenu</w:t>
            </w:r>
            <w:r>
              <w:rPr>
                <w:b/>
                <w:sz w:val="28"/>
                <w:u w:val="single"/>
              </w:rPr>
              <w:t>s</w:t>
            </w:r>
            <w:r w:rsidRPr="004E521D">
              <w:rPr>
                <w:b/>
                <w:sz w:val="28"/>
                <w:u w:val="single"/>
              </w:rPr>
              <w:t> :</w:t>
            </w:r>
            <w:r>
              <w:rPr>
                <w:sz w:val="28"/>
              </w:rPr>
              <w:t xml:space="preserve">  recourir au processus de création artistique pour réaliser diverses œuvres d’art</w:t>
            </w:r>
          </w:p>
          <w:p w14:paraId="50D5D896" w14:textId="77777777" w:rsidR="00BD6BEE" w:rsidRDefault="00BD6BEE" w:rsidP="00790B65">
            <w:pPr>
              <w:jc w:val="both"/>
              <w:rPr>
                <w:sz w:val="28"/>
              </w:rPr>
            </w:pPr>
            <w:r>
              <w:rPr>
                <w:sz w:val="28"/>
              </w:rPr>
              <w:t>: créer des œuvres en deux ou trois dimensions (p. ex., collage, dessin) inspirées de la nature (p. ex., paysage, animaux, monde des insectes, poissons dans un récif de corail au fond de la mer)</w:t>
            </w:r>
          </w:p>
          <w:p w14:paraId="36E2D566" w14:textId="77777777" w:rsidR="00CA4B26" w:rsidRPr="00117774" w:rsidRDefault="004E521D" w:rsidP="00790B65">
            <w:pPr>
              <w:jc w:val="both"/>
              <w:rPr>
                <w:sz w:val="28"/>
              </w:rPr>
            </w:pPr>
            <w:r>
              <w:rPr>
                <w:sz w:val="28"/>
              </w:rPr>
              <w:t xml:space="preserve">: </w:t>
            </w:r>
            <w:r w:rsidR="00A369A7">
              <w:rPr>
                <w:sz w:val="28"/>
              </w:rPr>
              <w:t xml:space="preserve">utiliser </w:t>
            </w:r>
            <w:r w:rsidR="00BD6BEE">
              <w:rPr>
                <w:sz w:val="28"/>
              </w:rPr>
              <w:t xml:space="preserve">des </w:t>
            </w:r>
            <w:r w:rsidR="00A369A7">
              <w:rPr>
                <w:sz w:val="28"/>
              </w:rPr>
              <w:t>techniques</w:t>
            </w:r>
            <w:r w:rsidR="00BD6BEE">
              <w:rPr>
                <w:sz w:val="28"/>
              </w:rPr>
              <w:t xml:space="preserve"> simples</w:t>
            </w:r>
            <w:r w:rsidR="00A369A7">
              <w:rPr>
                <w:sz w:val="28"/>
              </w:rPr>
              <w:t xml:space="preserve"> dans la création de ses propres </w:t>
            </w:r>
            <w:proofErr w:type="spellStart"/>
            <w:r w:rsidR="00A369A7">
              <w:rPr>
                <w:sz w:val="28"/>
              </w:rPr>
              <w:t>oeuvres</w:t>
            </w:r>
            <w:proofErr w:type="spellEnd"/>
          </w:p>
        </w:tc>
      </w:tr>
      <w:tr w:rsidR="00117774" w:rsidRPr="00117774" w14:paraId="1984C6F3" w14:textId="77777777" w:rsidTr="00CA4B26">
        <w:tc>
          <w:tcPr>
            <w:tcW w:w="3823" w:type="dxa"/>
          </w:tcPr>
          <w:p w14:paraId="1A74C963" w14:textId="77777777" w:rsidR="00117774" w:rsidRPr="00117774" w:rsidRDefault="00117774">
            <w:pPr>
              <w:rPr>
                <w:sz w:val="28"/>
              </w:rPr>
            </w:pPr>
            <w:r w:rsidRPr="00117774">
              <w:rPr>
                <w:sz w:val="28"/>
              </w:rPr>
              <w:t>Compétences globales ciblées</w:t>
            </w:r>
          </w:p>
        </w:tc>
        <w:tc>
          <w:tcPr>
            <w:tcW w:w="7087" w:type="dxa"/>
          </w:tcPr>
          <w:p w14:paraId="0D5E89CC" w14:textId="77777777" w:rsidR="00117774" w:rsidRDefault="00790B65">
            <w:pPr>
              <w:rPr>
                <w:sz w:val="28"/>
              </w:rPr>
            </w:pPr>
            <w:r>
              <w:rPr>
                <w:sz w:val="28"/>
              </w:rPr>
              <w:t>Élaborer et utiliser des modèles</w:t>
            </w:r>
          </w:p>
          <w:p w14:paraId="7ED91EBD" w14:textId="77777777" w:rsidR="00790B65" w:rsidRDefault="00790B65">
            <w:pPr>
              <w:rPr>
                <w:sz w:val="28"/>
              </w:rPr>
            </w:pPr>
            <w:r>
              <w:rPr>
                <w:sz w:val="28"/>
              </w:rPr>
              <w:t>Communiquer des informations</w:t>
            </w:r>
          </w:p>
          <w:p w14:paraId="6A7D2B60" w14:textId="77777777" w:rsidR="00790B65" w:rsidRDefault="00790B65">
            <w:pPr>
              <w:rPr>
                <w:sz w:val="28"/>
              </w:rPr>
            </w:pPr>
            <w:r>
              <w:rPr>
                <w:sz w:val="28"/>
              </w:rPr>
              <w:t>Collaborer</w:t>
            </w:r>
          </w:p>
          <w:p w14:paraId="5EF5DF4F" w14:textId="77777777" w:rsidR="00790B65" w:rsidRPr="00117774" w:rsidRDefault="00790B65">
            <w:pPr>
              <w:rPr>
                <w:sz w:val="28"/>
              </w:rPr>
            </w:pPr>
            <w:r>
              <w:rPr>
                <w:sz w:val="28"/>
              </w:rPr>
              <w:t>Créativité et innovation</w:t>
            </w:r>
          </w:p>
        </w:tc>
      </w:tr>
      <w:tr w:rsidR="00117774" w:rsidRPr="00117774" w14:paraId="42513488" w14:textId="77777777" w:rsidTr="00CA4B26">
        <w:tc>
          <w:tcPr>
            <w:tcW w:w="3823" w:type="dxa"/>
          </w:tcPr>
          <w:p w14:paraId="15D10550" w14:textId="77777777" w:rsidR="00117774" w:rsidRPr="00117774" w:rsidRDefault="00117774">
            <w:pPr>
              <w:rPr>
                <w:sz w:val="28"/>
              </w:rPr>
            </w:pPr>
            <w:r w:rsidRPr="00117774">
              <w:rPr>
                <w:sz w:val="28"/>
              </w:rPr>
              <w:t>Déroulement de l’activité</w:t>
            </w:r>
          </w:p>
        </w:tc>
        <w:tc>
          <w:tcPr>
            <w:tcW w:w="7087" w:type="dxa"/>
          </w:tcPr>
          <w:p w14:paraId="0EC587E9" w14:textId="77777777" w:rsidR="0034340E" w:rsidRDefault="0034340E" w:rsidP="00790B65">
            <w:pPr>
              <w:jc w:val="both"/>
              <w:rPr>
                <w:sz w:val="28"/>
              </w:rPr>
            </w:pPr>
            <w:r>
              <w:rPr>
                <w:sz w:val="28"/>
              </w:rPr>
              <w:t>Ce travail peut se faire en équipe ou encore de manière indivi</w:t>
            </w:r>
            <w:r w:rsidR="004E521D">
              <w:rPr>
                <w:sz w:val="28"/>
              </w:rPr>
              <w:t>d</w:t>
            </w:r>
            <w:r>
              <w:rPr>
                <w:sz w:val="28"/>
              </w:rPr>
              <w:t xml:space="preserve">uelle. </w:t>
            </w:r>
          </w:p>
          <w:p w14:paraId="4AFBB1D0" w14:textId="77777777" w:rsidR="0034340E" w:rsidRDefault="0034340E" w:rsidP="00790B65">
            <w:pPr>
              <w:jc w:val="both"/>
              <w:rPr>
                <w:sz w:val="28"/>
              </w:rPr>
            </w:pPr>
            <w:r>
              <w:rPr>
                <w:sz w:val="28"/>
              </w:rPr>
              <w:t>Remettre aux élèves le texte avec lequel ils devront travailler. (</w:t>
            </w:r>
            <w:proofErr w:type="gramStart"/>
            <w:r>
              <w:rPr>
                <w:sz w:val="28"/>
              </w:rPr>
              <w:t>p.</w:t>
            </w:r>
            <w:proofErr w:type="gramEnd"/>
            <w:r>
              <w:rPr>
                <w:sz w:val="28"/>
              </w:rPr>
              <w:t xml:space="preserve"> ex., les </w:t>
            </w:r>
            <w:r w:rsidR="00F529B1">
              <w:rPr>
                <w:sz w:val="28"/>
              </w:rPr>
              <w:t>contes lus en littératie</w:t>
            </w:r>
            <w:r>
              <w:rPr>
                <w:sz w:val="28"/>
              </w:rPr>
              <w:t>)</w:t>
            </w:r>
          </w:p>
          <w:p w14:paraId="34E14CEF" w14:textId="77777777" w:rsidR="00117774" w:rsidRPr="00117774" w:rsidRDefault="0034340E" w:rsidP="00790B65">
            <w:pPr>
              <w:jc w:val="both"/>
              <w:rPr>
                <w:sz w:val="28"/>
              </w:rPr>
            </w:pPr>
            <w:proofErr w:type="gramStart"/>
            <w:r>
              <w:rPr>
                <w:sz w:val="28"/>
              </w:rPr>
              <w:t>Suite à</w:t>
            </w:r>
            <w:proofErr w:type="gramEnd"/>
            <w:r>
              <w:rPr>
                <w:sz w:val="28"/>
              </w:rPr>
              <w:t xml:space="preserve"> la lecture du texte, chaque membre de l’équipe devra créer l’un des personnages d</w:t>
            </w:r>
            <w:r w:rsidR="00F529B1">
              <w:rPr>
                <w:sz w:val="28"/>
              </w:rPr>
              <w:t>u conte</w:t>
            </w:r>
            <w:r>
              <w:rPr>
                <w:sz w:val="28"/>
              </w:rPr>
              <w:t xml:space="preserve"> </w:t>
            </w:r>
            <w:r w:rsidR="00CA4B26">
              <w:rPr>
                <w:sz w:val="28"/>
              </w:rPr>
              <w:t xml:space="preserve">en utilisant un verre de </w:t>
            </w:r>
            <w:r w:rsidR="00CA4B26">
              <w:rPr>
                <w:sz w:val="28"/>
              </w:rPr>
              <w:lastRenderedPageBreak/>
              <w:t>plastique qui sera plac</w:t>
            </w:r>
            <w:r w:rsidR="00905493">
              <w:rPr>
                <w:sz w:val="28"/>
              </w:rPr>
              <w:t>é</w:t>
            </w:r>
            <w:r w:rsidR="00CA4B26">
              <w:rPr>
                <w:sz w:val="28"/>
              </w:rPr>
              <w:t xml:space="preserve"> sur le SPHERO</w:t>
            </w:r>
            <w:r w:rsidR="00F6547B">
              <w:rPr>
                <w:sz w:val="28"/>
              </w:rPr>
              <w:t xml:space="preserve">. Ensuite, </w:t>
            </w:r>
            <w:r w:rsidR="003023EC">
              <w:rPr>
                <w:sz w:val="28"/>
              </w:rPr>
              <w:t xml:space="preserve">chaque </w:t>
            </w:r>
            <w:r w:rsidR="00F6547B">
              <w:rPr>
                <w:sz w:val="28"/>
              </w:rPr>
              <w:t xml:space="preserve">élève devra faire bouger son personnage pour raconter </w:t>
            </w:r>
            <w:r>
              <w:rPr>
                <w:sz w:val="28"/>
              </w:rPr>
              <w:t xml:space="preserve">leur </w:t>
            </w:r>
            <w:r w:rsidR="00F529B1">
              <w:rPr>
                <w:sz w:val="28"/>
              </w:rPr>
              <w:t>conte</w:t>
            </w:r>
            <w:r>
              <w:rPr>
                <w:sz w:val="28"/>
              </w:rPr>
              <w:t>. L’équipe devra par la suite présenter s</w:t>
            </w:r>
            <w:r w:rsidR="00F529B1">
              <w:rPr>
                <w:sz w:val="28"/>
              </w:rPr>
              <w:t>on conte</w:t>
            </w:r>
            <w:r>
              <w:rPr>
                <w:sz w:val="28"/>
              </w:rPr>
              <w:t xml:space="preserve"> au reste du groupe tout en démontrant l’interaction entre les personnages.</w:t>
            </w:r>
            <w:r w:rsidR="00A13E01">
              <w:rPr>
                <w:sz w:val="28"/>
              </w:rPr>
              <w:t xml:space="preserve"> Le groupe p</w:t>
            </w:r>
            <w:r w:rsidR="0039390D">
              <w:rPr>
                <w:sz w:val="28"/>
              </w:rPr>
              <w:t>eut également créer une petite scène sur laquelle les personnages se déplaceront; ainsi l’équipe peut plus facilement préparer la programmation de chacun des robots pour raconter l’histoire. Il est également important pour chaque élève de bien suivre l’histoire lors de la lecture pour s’assurer qu</w:t>
            </w:r>
            <w:r w:rsidR="00FF4464">
              <w:rPr>
                <w:sz w:val="28"/>
              </w:rPr>
              <w:t xml:space="preserve">e </w:t>
            </w:r>
            <w:r w:rsidR="0039390D">
              <w:rPr>
                <w:sz w:val="28"/>
              </w:rPr>
              <w:t>son personnage</w:t>
            </w:r>
            <w:r w:rsidR="00FF4464">
              <w:rPr>
                <w:sz w:val="28"/>
              </w:rPr>
              <w:t xml:space="preserve"> bouge</w:t>
            </w:r>
            <w:r w:rsidR="0039390D">
              <w:rPr>
                <w:sz w:val="28"/>
              </w:rPr>
              <w:t xml:space="preserve"> au bon moment. Il sera nécessaire pour l’équipe de pratiquer plusieurs fois avant de présenter devant la classe.</w:t>
            </w:r>
          </w:p>
        </w:tc>
      </w:tr>
      <w:tr w:rsidR="00117774" w:rsidRPr="00117774" w14:paraId="335FF908" w14:textId="77777777" w:rsidTr="00CA4B26">
        <w:tc>
          <w:tcPr>
            <w:tcW w:w="3823" w:type="dxa"/>
          </w:tcPr>
          <w:p w14:paraId="405918BA" w14:textId="77777777" w:rsidR="00117774" w:rsidRPr="00117774" w:rsidRDefault="00117774">
            <w:pPr>
              <w:rPr>
                <w:sz w:val="28"/>
              </w:rPr>
            </w:pPr>
            <w:r w:rsidRPr="00117774">
              <w:rPr>
                <w:sz w:val="28"/>
              </w:rPr>
              <w:lastRenderedPageBreak/>
              <w:t>Matériel</w:t>
            </w:r>
          </w:p>
        </w:tc>
        <w:tc>
          <w:tcPr>
            <w:tcW w:w="7087" w:type="dxa"/>
          </w:tcPr>
          <w:p w14:paraId="351670D0" w14:textId="77777777" w:rsidR="00117774" w:rsidRDefault="00F6547B" w:rsidP="00F6547B">
            <w:pPr>
              <w:rPr>
                <w:sz w:val="28"/>
              </w:rPr>
            </w:pPr>
            <w:r>
              <w:rPr>
                <w:sz w:val="28"/>
              </w:rPr>
              <w:t>-</w:t>
            </w:r>
            <w:r w:rsidRPr="00F6547B">
              <w:rPr>
                <w:sz w:val="28"/>
              </w:rPr>
              <w:t>Verres de plastique</w:t>
            </w:r>
          </w:p>
          <w:p w14:paraId="38F29BDA" w14:textId="77777777" w:rsidR="00F6547B" w:rsidRDefault="00F6547B" w:rsidP="00F6547B">
            <w:pPr>
              <w:rPr>
                <w:sz w:val="28"/>
              </w:rPr>
            </w:pPr>
            <w:r>
              <w:rPr>
                <w:sz w:val="28"/>
              </w:rPr>
              <w:t>-matériel de bricolage (p. ex., carton de couleur, feutre, peinture, cure-pipes, etc.)</w:t>
            </w:r>
          </w:p>
          <w:p w14:paraId="4E51CE30" w14:textId="77777777" w:rsidR="00F6547B" w:rsidRPr="00F6547B" w:rsidRDefault="00F6547B" w:rsidP="00F6547B">
            <w:pPr>
              <w:rPr>
                <w:sz w:val="28"/>
              </w:rPr>
            </w:pPr>
            <w:r>
              <w:rPr>
                <w:sz w:val="28"/>
              </w:rPr>
              <w:t>-SPHERO</w:t>
            </w:r>
          </w:p>
        </w:tc>
      </w:tr>
      <w:tr w:rsidR="00117774" w:rsidRPr="00117774" w14:paraId="56106A43" w14:textId="77777777" w:rsidTr="00CA4B26">
        <w:tc>
          <w:tcPr>
            <w:tcW w:w="3823" w:type="dxa"/>
          </w:tcPr>
          <w:p w14:paraId="03E16979" w14:textId="77777777" w:rsidR="00117774" w:rsidRPr="00117774" w:rsidRDefault="00117774">
            <w:pPr>
              <w:rPr>
                <w:sz w:val="28"/>
              </w:rPr>
            </w:pPr>
            <w:r w:rsidRPr="00117774">
              <w:rPr>
                <w:sz w:val="28"/>
              </w:rPr>
              <w:t xml:space="preserve">Feuilles de routes </w:t>
            </w:r>
            <w:r w:rsidRPr="00117774">
              <w:rPr>
                <w:rFonts w:cstheme="minorHAnsi"/>
                <w:sz w:val="28"/>
              </w:rPr>
              <w:t>/</w:t>
            </w:r>
            <w:r w:rsidRPr="00117774">
              <w:rPr>
                <w:sz w:val="28"/>
              </w:rPr>
              <w:t xml:space="preserve"> annexes</w:t>
            </w:r>
          </w:p>
        </w:tc>
        <w:tc>
          <w:tcPr>
            <w:tcW w:w="7087" w:type="dxa"/>
          </w:tcPr>
          <w:p w14:paraId="7997F7F5" w14:textId="77777777" w:rsidR="00117774" w:rsidRPr="00117774" w:rsidRDefault="00117774">
            <w:pPr>
              <w:rPr>
                <w:sz w:val="28"/>
              </w:rPr>
            </w:pPr>
          </w:p>
        </w:tc>
      </w:tr>
      <w:tr w:rsidR="00117774" w:rsidRPr="00117774" w14:paraId="0C151309" w14:textId="77777777" w:rsidTr="00CA4B26">
        <w:tc>
          <w:tcPr>
            <w:tcW w:w="3823" w:type="dxa"/>
          </w:tcPr>
          <w:p w14:paraId="4EC97AB5" w14:textId="77777777" w:rsidR="00117774" w:rsidRPr="00117774" w:rsidRDefault="00117774">
            <w:pPr>
              <w:rPr>
                <w:sz w:val="28"/>
              </w:rPr>
            </w:pPr>
            <w:r w:rsidRPr="00117774">
              <w:rPr>
                <w:sz w:val="28"/>
              </w:rPr>
              <w:t>Liens possibles avec ressources utilisées</w:t>
            </w:r>
          </w:p>
        </w:tc>
        <w:tc>
          <w:tcPr>
            <w:tcW w:w="7087" w:type="dxa"/>
          </w:tcPr>
          <w:p w14:paraId="227560F3" w14:textId="77777777" w:rsidR="00117774" w:rsidRPr="00117774" w:rsidRDefault="00790B65">
            <w:pPr>
              <w:rPr>
                <w:sz w:val="28"/>
              </w:rPr>
            </w:pPr>
            <w:r>
              <w:rPr>
                <w:sz w:val="28"/>
              </w:rPr>
              <w:t>V</w:t>
            </w:r>
            <w:r w:rsidR="004E521D">
              <w:rPr>
                <w:sz w:val="28"/>
              </w:rPr>
              <w:t>oir les textes disponibles dans le programme Expression 4</w:t>
            </w:r>
            <w:r w:rsidR="00F529B1">
              <w:rPr>
                <w:sz w:val="28"/>
              </w:rPr>
              <w:t xml:space="preserve"> et les contes choisis en littératie. Il est ainsi possible de faire de l’intégration de matière.</w:t>
            </w:r>
          </w:p>
        </w:tc>
      </w:tr>
      <w:tr w:rsidR="00117774" w:rsidRPr="00117774" w14:paraId="5390F1F4" w14:textId="77777777" w:rsidTr="00CA4B26">
        <w:tc>
          <w:tcPr>
            <w:tcW w:w="3823" w:type="dxa"/>
          </w:tcPr>
          <w:p w14:paraId="1F88020F" w14:textId="77777777" w:rsidR="00117774" w:rsidRPr="00117774" w:rsidRDefault="00117774">
            <w:pPr>
              <w:rPr>
                <w:sz w:val="28"/>
              </w:rPr>
            </w:pPr>
            <w:r w:rsidRPr="00117774">
              <w:rPr>
                <w:sz w:val="28"/>
              </w:rPr>
              <w:t>Autres détails pertinents</w:t>
            </w:r>
          </w:p>
        </w:tc>
        <w:tc>
          <w:tcPr>
            <w:tcW w:w="7087" w:type="dxa"/>
          </w:tcPr>
          <w:p w14:paraId="3FC3BF5C" w14:textId="77777777" w:rsidR="00117774" w:rsidRPr="00117774" w:rsidRDefault="00F6547B" w:rsidP="00790B65">
            <w:pPr>
              <w:jc w:val="both"/>
              <w:rPr>
                <w:sz w:val="28"/>
              </w:rPr>
            </w:pPr>
            <w:r>
              <w:rPr>
                <w:sz w:val="28"/>
              </w:rPr>
              <w:t xml:space="preserve">Il est possible d’inclure des éléments de communication orale </w:t>
            </w:r>
            <w:r w:rsidR="00790B65">
              <w:rPr>
                <w:sz w:val="28"/>
              </w:rPr>
              <w:t>et de lecture du curriculum de français, puisque l</w:t>
            </w:r>
            <w:r w:rsidR="00F529B1">
              <w:rPr>
                <w:sz w:val="28"/>
              </w:rPr>
              <w:t>e conte fait partie des genres de textes à explorer</w:t>
            </w:r>
            <w:r w:rsidR="00FF4464">
              <w:rPr>
                <w:sz w:val="28"/>
              </w:rPr>
              <w:t xml:space="preserve"> en 3</w:t>
            </w:r>
            <w:r w:rsidR="00FF4464" w:rsidRPr="00FF4464">
              <w:rPr>
                <w:sz w:val="28"/>
                <w:vertAlign w:val="superscript"/>
              </w:rPr>
              <w:t>e</w:t>
            </w:r>
            <w:r w:rsidR="00FF4464">
              <w:rPr>
                <w:sz w:val="28"/>
              </w:rPr>
              <w:t xml:space="preserve"> année</w:t>
            </w:r>
            <w:r w:rsidR="00F529B1">
              <w:rPr>
                <w:sz w:val="28"/>
              </w:rPr>
              <w:t>.</w:t>
            </w:r>
            <w:r w:rsidR="00790B65">
              <w:rPr>
                <w:sz w:val="28"/>
              </w:rPr>
              <w:t xml:space="preserve"> </w:t>
            </w:r>
          </w:p>
        </w:tc>
      </w:tr>
      <w:tr w:rsidR="00117774" w:rsidRPr="00117774" w14:paraId="380DF52B" w14:textId="77777777" w:rsidTr="00CA4B26">
        <w:tc>
          <w:tcPr>
            <w:tcW w:w="3823" w:type="dxa"/>
          </w:tcPr>
          <w:p w14:paraId="7A9F0D0E" w14:textId="77777777" w:rsidR="00117774" w:rsidRPr="00117774" w:rsidRDefault="00117774">
            <w:pPr>
              <w:rPr>
                <w:sz w:val="28"/>
              </w:rPr>
            </w:pPr>
            <w:r w:rsidRPr="00117774">
              <w:rPr>
                <w:sz w:val="28"/>
              </w:rPr>
              <w:t>Critères d’évaluation</w:t>
            </w:r>
          </w:p>
        </w:tc>
        <w:tc>
          <w:tcPr>
            <w:tcW w:w="7087" w:type="dxa"/>
          </w:tcPr>
          <w:p w14:paraId="42C4D61C" w14:textId="77777777" w:rsidR="00117774" w:rsidRDefault="00042BC6" w:rsidP="000C22EC">
            <w:pPr>
              <w:jc w:val="both"/>
              <w:rPr>
                <w:sz w:val="28"/>
              </w:rPr>
            </w:pPr>
            <w:r>
              <w:rPr>
                <w:sz w:val="28"/>
              </w:rPr>
              <w:t>Création des personnages et de la scène selon les attentes du curriculum d’arts visuels</w:t>
            </w:r>
            <w:r w:rsidR="000C22EC">
              <w:rPr>
                <w:sz w:val="28"/>
              </w:rPr>
              <w:t>.</w:t>
            </w:r>
          </w:p>
          <w:p w14:paraId="1456CC1D" w14:textId="77777777" w:rsidR="000C22EC" w:rsidRDefault="000C22EC" w:rsidP="000C22EC">
            <w:pPr>
              <w:jc w:val="both"/>
              <w:rPr>
                <w:sz w:val="28"/>
              </w:rPr>
            </w:pPr>
            <w:r>
              <w:rPr>
                <w:sz w:val="28"/>
              </w:rPr>
              <w:t>Présentation originale du conte. S’assurer que l’équipe fait preuve de créativité pour présenter son texte.</w:t>
            </w:r>
          </w:p>
          <w:p w14:paraId="60E12324" w14:textId="77777777" w:rsidR="000C22EC" w:rsidRPr="00117774" w:rsidRDefault="000C22EC" w:rsidP="000C22EC">
            <w:pPr>
              <w:jc w:val="both"/>
              <w:rPr>
                <w:sz w:val="28"/>
              </w:rPr>
            </w:pPr>
            <w:r>
              <w:rPr>
                <w:sz w:val="28"/>
              </w:rPr>
              <w:t>Est-ce que chaque membre de l’équipe peut suivre le déroulement du texte et faire bouger son personnage au bon moment?</w:t>
            </w:r>
          </w:p>
        </w:tc>
      </w:tr>
    </w:tbl>
    <w:p w14:paraId="0A834B57" w14:textId="77777777" w:rsidR="00373F96" w:rsidRPr="00117774" w:rsidRDefault="00DF5D27">
      <w:pPr>
        <w:rPr>
          <w:sz w:val="28"/>
        </w:rPr>
      </w:pPr>
    </w:p>
    <w:sectPr w:rsidR="00373F96" w:rsidRPr="00117774" w:rsidSect="00CA4B2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D72578"/>
    <w:multiLevelType w:val="hybridMultilevel"/>
    <w:tmpl w:val="C330B382"/>
    <w:lvl w:ilvl="0" w:tplc="C0BC749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774"/>
    <w:rsid w:val="00042BC6"/>
    <w:rsid w:val="000A28D2"/>
    <w:rsid w:val="000C22EC"/>
    <w:rsid w:val="00117774"/>
    <w:rsid w:val="003023EC"/>
    <w:rsid w:val="0034340E"/>
    <w:rsid w:val="00371DD1"/>
    <w:rsid w:val="0039390D"/>
    <w:rsid w:val="00425B4F"/>
    <w:rsid w:val="00480FD4"/>
    <w:rsid w:val="004E521D"/>
    <w:rsid w:val="005308A1"/>
    <w:rsid w:val="005B1025"/>
    <w:rsid w:val="005C0E73"/>
    <w:rsid w:val="00790B65"/>
    <w:rsid w:val="00905493"/>
    <w:rsid w:val="009B253B"/>
    <w:rsid w:val="009D2588"/>
    <w:rsid w:val="00A13E01"/>
    <w:rsid w:val="00A369A7"/>
    <w:rsid w:val="00BD6BEE"/>
    <w:rsid w:val="00CA4B26"/>
    <w:rsid w:val="00DF5D27"/>
    <w:rsid w:val="00E32CBB"/>
    <w:rsid w:val="00E5736E"/>
    <w:rsid w:val="00F358C8"/>
    <w:rsid w:val="00F529B1"/>
    <w:rsid w:val="00F6547B"/>
    <w:rsid w:val="00FF446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87F29"/>
  <w15:chartTrackingRefBased/>
  <w15:docId w15:val="{3FC0A2E9-8660-4617-A3AF-83FC25846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7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54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dc:creator>
  <cp:keywords/>
  <dc:description/>
  <cp:lastModifiedBy>Mario Blouin</cp:lastModifiedBy>
  <cp:revision>2</cp:revision>
  <cp:lastPrinted>2018-08-21T20:46:00Z</cp:lastPrinted>
  <dcterms:created xsi:type="dcterms:W3CDTF">2018-08-21T21:14:00Z</dcterms:created>
  <dcterms:modified xsi:type="dcterms:W3CDTF">2018-08-21T21:14:00Z</dcterms:modified>
</cp:coreProperties>
</file>