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823"/>
        <w:gridCol w:w="7087"/>
      </w:tblGrid>
      <w:tr w:rsidR="00117774" w:rsidRPr="00117774" w14:paraId="40924FB8" w14:textId="77777777" w:rsidTr="00D57426">
        <w:tc>
          <w:tcPr>
            <w:tcW w:w="3823" w:type="dxa"/>
          </w:tcPr>
          <w:p w14:paraId="0AA32F02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Titre clair et précis (afin d’identifier) et courte description</w:t>
            </w:r>
          </w:p>
        </w:tc>
        <w:tc>
          <w:tcPr>
            <w:tcW w:w="7087" w:type="dxa"/>
          </w:tcPr>
          <w:p w14:paraId="3CF17424" w14:textId="77777777" w:rsidR="00117774" w:rsidRDefault="00DD0B5F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Les </w:t>
            </w:r>
            <w:r w:rsidR="000B03A3">
              <w:rPr>
                <w:sz w:val="28"/>
              </w:rPr>
              <w:t>polygones</w:t>
            </w:r>
            <w:r>
              <w:rPr>
                <w:sz w:val="28"/>
              </w:rPr>
              <w:t xml:space="preserve"> </w:t>
            </w:r>
            <w:r w:rsidR="002C489F">
              <w:rPr>
                <w:sz w:val="28"/>
              </w:rPr>
              <w:t>3</w:t>
            </w:r>
            <w:r w:rsidR="002C489F" w:rsidRPr="002C489F">
              <w:rPr>
                <w:sz w:val="28"/>
                <w:vertAlign w:val="superscript"/>
              </w:rPr>
              <w:t>e</w:t>
            </w:r>
            <w:proofErr w:type="gramEnd"/>
            <w:r w:rsidR="002C489F">
              <w:rPr>
                <w:sz w:val="28"/>
              </w:rPr>
              <w:t xml:space="preserve"> </w:t>
            </w:r>
          </w:p>
          <w:p w14:paraId="314F0C29" w14:textId="5C80F160" w:rsidR="003319C3" w:rsidRPr="00117774" w:rsidRDefault="003319C3">
            <w:pPr>
              <w:rPr>
                <w:sz w:val="28"/>
              </w:rPr>
            </w:pPr>
            <w:r>
              <w:rPr>
                <w:sz w:val="28"/>
              </w:rPr>
              <w:t>Sphero</w:t>
            </w:r>
            <w:bookmarkStart w:id="0" w:name="_GoBack"/>
            <w:bookmarkEnd w:id="0"/>
          </w:p>
        </w:tc>
      </w:tr>
      <w:tr w:rsidR="00117774" w:rsidRPr="00117774" w14:paraId="41765AF1" w14:textId="77777777" w:rsidTr="00D57426">
        <w:tc>
          <w:tcPr>
            <w:tcW w:w="3823" w:type="dxa"/>
          </w:tcPr>
          <w:p w14:paraId="480922FB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Matière à l’étude</w:t>
            </w:r>
          </w:p>
        </w:tc>
        <w:tc>
          <w:tcPr>
            <w:tcW w:w="7087" w:type="dxa"/>
          </w:tcPr>
          <w:p w14:paraId="218FC88F" w14:textId="77777777" w:rsidR="00117774" w:rsidRDefault="00DD0B5F">
            <w:pPr>
              <w:rPr>
                <w:sz w:val="28"/>
              </w:rPr>
            </w:pPr>
            <w:r>
              <w:rPr>
                <w:sz w:val="28"/>
              </w:rPr>
              <w:t>Mathématiques 3</w:t>
            </w:r>
            <w:r w:rsidRPr="00DD0B5F">
              <w:rPr>
                <w:sz w:val="28"/>
                <w:vertAlign w:val="superscript"/>
              </w:rPr>
              <w:t>e</w:t>
            </w:r>
            <w:r>
              <w:rPr>
                <w:sz w:val="28"/>
              </w:rPr>
              <w:t xml:space="preserve"> année</w:t>
            </w:r>
          </w:p>
          <w:p w14:paraId="240DD378" w14:textId="77777777" w:rsidR="00DD0B5F" w:rsidRPr="00117774" w:rsidRDefault="00DD0B5F">
            <w:pPr>
              <w:rPr>
                <w:sz w:val="28"/>
              </w:rPr>
            </w:pPr>
            <w:r>
              <w:rPr>
                <w:sz w:val="28"/>
              </w:rPr>
              <w:t>Géométrie et sens de l’espace</w:t>
            </w:r>
          </w:p>
        </w:tc>
      </w:tr>
      <w:tr w:rsidR="00117774" w:rsidRPr="00117774" w14:paraId="58AE401E" w14:textId="77777777" w:rsidTr="00D57426">
        <w:tc>
          <w:tcPr>
            <w:tcW w:w="3823" w:type="dxa"/>
          </w:tcPr>
          <w:p w14:paraId="748B99CD" w14:textId="77777777" w:rsidR="00117774" w:rsidRPr="00117774" w:rsidRDefault="00117774">
            <w:pPr>
              <w:rPr>
                <w:sz w:val="28"/>
                <w:lang w:val="en-CA"/>
              </w:rPr>
            </w:pPr>
            <w:r w:rsidRPr="00117774">
              <w:rPr>
                <w:sz w:val="28"/>
              </w:rPr>
              <w:t xml:space="preserve">Attentes </w:t>
            </w:r>
            <w:r w:rsidRPr="00117774">
              <w:rPr>
                <w:rFonts w:ascii="Calibri" w:hAnsi="Calibri" w:cs="Calibri"/>
                <w:sz w:val="28"/>
              </w:rPr>
              <w:t xml:space="preserve">/ </w:t>
            </w:r>
            <w:proofErr w:type="spellStart"/>
            <w:r w:rsidR="000D67F8">
              <w:rPr>
                <w:rFonts w:ascii="Calibri" w:hAnsi="Calibri" w:cs="Calibri"/>
                <w:sz w:val="28"/>
                <w:lang w:val="en-CA"/>
              </w:rPr>
              <w:t>C</w:t>
            </w:r>
            <w:r w:rsidRPr="00117774">
              <w:rPr>
                <w:rFonts w:ascii="Calibri" w:hAnsi="Calibri" w:cs="Calibri"/>
                <w:sz w:val="28"/>
                <w:lang w:val="en-CA"/>
              </w:rPr>
              <w:t>ontenus</w:t>
            </w:r>
            <w:proofErr w:type="spellEnd"/>
            <w:r w:rsidRPr="00117774">
              <w:rPr>
                <w:rFonts w:ascii="Calibri" w:hAnsi="Calibri" w:cs="Calibri"/>
                <w:sz w:val="28"/>
                <w:lang w:val="en-CA"/>
              </w:rPr>
              <w:t xml:space="preserve">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touchés</w:t>
            </w:r>
            <w:proofErr w:type="spellEnd"/>
          </w:p>
        </w:tc>
        <w:tc>
          <w:tcPr>
            <w:tcW w:w="7087" w:type="dxa"/>
          </w:tcPr>
          <w:p w14:paraId="2A984DE7" w14:textId="77777777" w:rsidR="00117774" w:rsidRDefault="00DD0B5F" w:rsidP="00D57426">
            <w:pPr>
              <w:jc w:val="both"/>
              <w:rPr>
                <w:sz w:val="28"/>
              </w:rPr>
            </w:pPr>
            <w:r w:rsidRPr="00D57426">
              <w:rPr>
                <w:b/>
                <w:sz w:val="28"/>
                <w:u w:val="single"/>
              </w:rPr>
              <w:t>Attente :</w:t>
            </w:r>
            <w:r>
              <w:rPr>
                <w:sz w:val="28"/>
              </w:rPr>
              <w:t xml:space="preserve"> représenter et construire diverses figures planes et divers solides afin de développer</w:t>
            </w:r>
            <w:r w:rsidR="000B03A3">
              <w:rPr>
                <w:sz w:val="28"/>
              </w:rPr>
              <w:t xml:space="preserve"> une compréhension de leurs propriétés</w:t>
            </w:r>
          </w:p>
          <w:p w14:paraId="2FF15748" w14:textId="77777777" w:rsidR="00DD0B5F" w:rsidRPr="00117774" w:rsidRDefault="000D67F8" w:rsidP="00D57426">
            <w:pPr>
              <w:jc w:val="both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>Contenus</w:t>
            </w:r>
            <w:r w:rsidR="00DD0B5F" w:rsidRPr="00D57426">
              <w:rPr>
                <w:b/>
                <w:sz w:val="28"/>
                <w:u w:val="single"/>
              </w:rPr>
              <w:t> :</w:t>
            </w:r>
            <w:r w:rsidR="00DD0B5F">
              <w:rPr>
                <w:sz w:val="28"/>
              </w:rPr>
              <w:t xml:space="preserve"> </w:t>
            </w:r>
            <w:r w:rsidR="000B03A3">
              <w:rPr>
                <w:sz w:val="28"/>
              </w:rPr>
              <w:t xml:space="preserve">tracer et construire divers polygones réguliers et irréguliers (p. ex., triangle, quadrilatère, pentagone, hexagone, heptagone, et octogone), à l’aide de matériel concret et semi-concret (p. ex., </w:t>
            </w:r>
            <w:proofErr w:type="spellStart"/>
            <w:r w:rsidR="000B03A3">
              <w:rPr>
                <w:sz w:val="28"/>
              </w:rPr>
              <w:t>géoplan</w:t>
            </w:r>
            <w:proofErr w:type="spellEnd"/>
            <w:r w:rsidR="000B03A3">
              <w:rPr>
                <w:sz w:val="28"/>
              </w:rPr>
              <w:t>, papier à points, papier quadri</w:t>
            </w:r>
            <w:r w:rsidR="00F46650">
              <w:rPr>
                <w:sz w:val="28"/>
              </w:rPr>
              <w:t>ll</w:t>
            </w:r>
            <w:r w:rsidR="000B03A3">
              <w:rPr>
                <w:sz w:val="28"/>
              </w:rPr>
              <w:t xml:space="preserve">é, </w:t>
            </w:r>
            <w:proofErr w:type="spellStart"/>
            <w:r w:rsidR="000B03A3">
              <w:rPr>
                <w:sz w:val="28"/>
              </w:rPr>
              <w:t>pentomino</w:t>
            </w:r>
            <w:proofErr w:type="spellEnd"/>
            <w:r w:rsidR="000B03A3">
              <w:rPr>
                <w:sz w:val="28"/>
              </w:rPr>
              <w:t>, mosa</w:t>
            </w:r>
            <w:r w:rsidR="00E315BC">
              <w:rPr>
                <w:sz w:val="28"/>
              </w:rPr>
              <w:t>ï</w:t>
            </w:r>
            <w:r w:rsidR="000B03A3">
              <w:rPr>
                <w:sz w:val="28"/>
              </w:rPr>
              <w:t>que géométrique)</w:t>
            </w:r>
          </w:p>
        </w:tc>
      </w:tr>
      <w:tr w:rsidR="00117774" w:rsidRPr="00117774" w14:paraId="3B3F76AD" w14:textId="77777777" w:rsidTr="00D57426">
        <w:tc>
          <w:tcPr>
            <w:tcW w:w="3823" w:type="dxa"/>
          </w:tcPr>
          <w:p w14:paraId="2FDEAC5F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Compétences globales ciblées</w:t>
            </w:r>
          </w:p>
        </w:tc>
        <w:tc>
          <w:tcPr>
            <w:tcW w:w="7087" w:type="dxa"/>
          </w:tcPr>
          <w:p w14:paraId="0C877A74" w14:textId="77777777" w:rsidR="00117774" w:rsidRDefault="002D6F12">
            <w:pPr>
              <w:rPr>
                <w:sz w:val="28"/>
              </w:rPr>
            </w:pPr>
            <w:r>
              <w:rPr>
                <w:sz w:val="28"/>
              </w:rPr>
              <w:t>Élaborer et utiliser des modèles</w:t>
            </w:r>
          </w:p>
          <w:p w14:paraId="4471619F" w14:textId="77777777" w:rsidR="002D6F12" w:rsidRDefault="002D6F12">
            <w:pPr>
              <w:rPr>
                <w:sz w:val="28"/>
              </w:rPr>
            </w:pPr>
            <w:r>
              <w:rPr>
                <w:sz w:val="28"/>
              </w:rPr>
              <w:t>Communiquer des informations</w:t>
            </w:r>
          </w:p>
          <w:p w14:paraId="4CBAF46A" w14:textId="77777777" w:rsidR="002D6F12" w:rsidRPr="00117774" w:rsidRDefault="002D6F12">
            <w:pPr>
              <w:rPr>
                <w:sz w:val="28"/>
              </w:rPr>
            </w:pPr>
            <w:r>
              <w:rPr>
                <w:sz w:val="28"/>
              </w:rPr>
              <w:t>Esprit critique, résolution de problèmes et prise de décision</w:t>
            </w:r>
          </w:p>
        </w:tc>
      </w:tr>
      <w:tr w:rsidR="00117774" w:rsidRPr="00117774" w14:paraId="1E516599" w14:textId="77777777" w:rsidTr="00D57426">
        <w:tc>
          <w:tcPr>
            <w:tcW w:w="3823" w:type="dxa"/>
          </w:tcPr>
          <w:p w14:paraId="0CB8A178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Déroulement de l’activité</w:t>
            </w:r>
          </w:p>
        </w:tc>
        <w:tc>
          <w:tcPr>
            <w:tcW w:w="7087" w:type="dxa"/>
          </w:tcPr>
          <w:p w14:paraId="22172B2C" w14:textId="77777777" w:rsidR="00117774" w:rsidRDefault="00DD0B5F" w:rsidP="00D5742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Demander à l’élève de tracer chaque type de </w:t>
            </w:r>
            <w:r w:rsidR="000B03A3">
              <w:rPr>
                <w:sz w:val="28"/>
              </w:rPr>
              <w:t>polygones réguliers ou irréguliers</w:t>
            </w:r>
            <w:r w:rsidR="002D6F12">
              <w:rPr>
                <w:sz w:val="28"/>
              </w:rPr>
              <w:t xml:space="preserve"> sur du papier quadrillé. L’élève devrait pouvoir dessiner chaque polygone autant régulier qu’irrégulier sur son papier avant de pouvoir les faire en ruban adhésif sur le plancher.</w:t>
            </w:r>
          </w:p>
          <w:p w14:paraId="6DE001C3" w14:textId="77777777" w:rsidR="00DD0B5F" w:rsidRPr="002D6F12" w:rsidRDefault="002D6F12" w:rsidP="002D6F12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Lorsque l’</w:t>
            </w:r>
            <w:r w:rsidR="009B090C">
              <w:rPr>
                <w:sz w:val="28"/>
              </w:rPr>
              <w:t>é</w:t>
            </w:r>
            <w:r>
              <w:rPr>
                <w:sz w:val="28"/>
              </w:rPr>
              <w:t xml:space="preserve">lève a fait ses modèles sur papier, il peut maintenant refaire les mêmes polygones (en plus gros) en utilisant du ruban adhésif. </w:t>
            </w:r>
          </w:p>
          <w:p w14:paraId="45B07A52" w14:textId="77777777" w:rsidR="00DD0B5F" w:rsidRPr="00DD0B5F" w:rsidRDefault="00DD0B5F" w:rsidP="00D5742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Utiliser le SPHERO pour retracer les </w:t>
            </w:r>
            <w:r w:rsidR="00C17316">
              <w:rPr>
                <w:sz w:val="28"/>
              </w:rPr>
              <w:t>divers polygones réguliers ou irréguliers.</w:t>
            </w:r>
            <w:r w:rsidR="002D6F12">
              <w:rPr>
                <w:sz w:val="28"/>
              </w:rPr>
              <w:t xml:space="preserve"> L’élève devra faire le codage pour chacun de ses polygones.</w:t>
            </w:r>
          </w:p>
        </w:tc>
      </w:tr>
      <w:tr w:rsidR="00117774" w:rsidRPr="00117774" w14:paraId="101A348B" w14:textId="77777777" w:rsidTr="00D57426">
        <w:tc>
          <w:tcPr>
            <w:tcW w:w="3823" w:type="dxa"/>
          </w:tcPr>
          <w:p w14:paraId="33B34ED6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Matériel</w:t>
            </w:r>
          </w:p>
        </w:tc>
        <w:tc>
          <w:tcPr>
            <w:tcW w:w="7087" w:type="dxa"/>
          </w:tcPr>
          <w:p w14:paraId="00E440B0" w14:textId="77777777" w:rsidR="00117774" w:rsidRDefault="00DD0B5F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2D6F12">
              <w:rPr>
                <w:sz w:val="28"/>
              </w:rPr>
              <w:t>papier quadrillé</w:t>
            </w:r>
          </w:p>
          <w:p w14:paraId="4F92445A" w14:textId="77777777" w:rsidR="002D6F12" w:rsidRDefault="002D6F12">
            <w:pPr>
              <w:rPr>
                <w:sz w:val="28"/>
              </w:rPr>
            </w:pPr>
            <w:r>
              <w:rPr>
                <w:sz w:val="28"/>
              </w:rPr>
              <w:t>-ruban adhésif</w:t>
            </w:r>
          </w:p>
          <w:p w14:paraId="3955152D" w14:textId="77777777" w:rsidR="00DD0B5F" w:rsidRPr="00117774" w:rsidRDefault="00DD0B5F">
            <w:pPr>
              <w:rPr>
                <w:sz w:val="28"/>
              </w:rPr>
            </w:pPr>
            <w:r>
              <w:rPr>
                <w:sz w:val="28"/>
              </w:rPr>
              <w:t>-SPHERO</w:t>
            </w:r>
          </w:p>
        </w:tc>
      </w:tr>
      <w:tr w:rsidR="00117774" w:rsidRPr="00117774" w14:paraId="39726CF8" w14:textId="77777777" w:rsidTr="00D57426">
        <w:tc>
          <w:tcPr>
            <w:tcW w:w="3823" w:type="dxa"/>
          </w:tcPr>
          <w:p w14:paraId="585E8020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 xml:space="preserve">Feuilles de route </w:t>
            </w:r>
            <w:r w:rsidRPr="00117774">
              <w:rPr>
                <w:rFonts w:cstheme="minorHAnsi"/>
                <w:sz w:val="28"/>
              </w:rPr>
              <w:t>/</w:t>
            </w:r>
            <w:r w:rsidRPr="00117774">
              <w:rPr>
                <w:sz w:val="28"/>
              </w:rPr>
              <w:t xml:space="preserve"> annexes</w:t>
            </w:r>
          </w:p>
        </w:tc>
        <w:tc>
          <w:tcPr>
            <w:tcW w:w="7087" w:type="dxa"/>
          </w:tcPr>
          <w:p w14:paraId="3C663E57" w14:textId="77777777" w:rsidR="00117774" w:rsidRPr="00117774" w:rsidRDefault="00B2076B">
            <w:pPr>
              <w:rPr>
                <w:sz w:val="28"/>
              </w:rPr>
            </w:pPr>
            <w:r w:rsidRPr="00BC534B">
              <w:rPr>
                <w:b/>
                <w:sz w:val="28"/>
              </w:rPr>
              <w:t>Annexe 1</w:t>
            </w:r>
            <w:r>
              <w:rPr>
                <w:sz w:val="28"/>
              </w:rPr>
              <w:t xml:space="preserve"> – Codage d’un carré</w:t>
            </w:r>
          </w:p>
        </w:tc>
      </w:tr>
      <w:tr w:rsidR="00117774" w:rsidRPr="00117774" w14:paraId="33C3145C" w14:textId="77777777" w:rsidTr="00D57426">
        <w:tc>
          <w:tcPr>
            <w:tcW w:w="3823" w:type="dxa"/>
          </w:tcPr>
          <w:p w14:paraId="75CB2601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Liens possibles avec ressources utilisées</w:t>
            </w:r>
          </w:p>
        </w:tc>
        <w:tc>
          <w:tcPr>
            <w:tcW w:w="7087" w:type="dxa"/>
          </w:tcPr>
          <w:p w14:paraId="0D7DF23F" w14:textId="77777777" w:rsidR="00117774" w:rsidRPr="00117774" w:rsidRDefault="00BC534B" w:rsidP="00BC534B">
            <w:pPr>
              <w:jc w:val="both"/>
              <w:rPr>
                <w:sz w:val="28"/>
              </w:rPr>
            </w:pPr>
            <w:r>
              <w:rPr>
                <w:sz w:val="28"/>
              </w:rPr>
              <w:t>La leçon peut également être utilisée dans le domaine de Mesure.</w:t>
            </w:r>
          </w:p>
        </w:tc>
      </w:tr>
      <w:tr w:rsidR="00117774" w:rsidRPr="00117774" w14:paraId="76B53BA3" w14:textId="77777777" w:rsidTr="00D57426">
        <w:tc>
          <w:tcPr>
            <w:tcW w:w="3823" w:type="dxa"/>
          </w:tcPr>
          <w:p w14:paraId="5DF0CD1C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Autres détails pertinents</w:t>
            </w:r>
          </w:p>
        </w:tc>
        <w:tc>
          <w:tcPr>
            <w:tcW w:w="7087" w:type="dxa"/>
          </w:tcPr>
          <w:p w14:paraId="79F99425" w14:textId="77777777" w:rsidR="00117774" w:rsidRPr="00117774" w:rsidRDefault="00117774">
            <w:pPr>
              <w:rPr>
                <w:sz w:val="28"/>
              </w:rPr>
            </w:pPr>
          </w:p>
        </w:tc>
      </w:tr>
      <w:tr w:rsidR="00117774" w:rsidRPr="00117774" w14:paraId="3E5AEB8E" w14:textId="77777777" w:rsidTr="00D57426">
        <w:tc>
          <w:tcPr>
            <w:tcW w:w="3823" w:type="dxa"/>
          </w:tcPr>
          <w:p w14:paraId="21BDC125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Critères d’évaluation</w:t>
            </w:r>
          </w:p>
        </w:tc>
        <w:tc>
          <w:tcPr>
            <w:tcW w:w="7087" w:type="dxa"/>
          </w:tcPr>
          <w:p w14:paraId="07A775B2" w14:textId="77777777" w:rsidR="002D6F12" w:rsidRPr="00117774" w:rsidRDefault="00C17316" w:rsidP="006B0831">
            <w:pPr>
              <w:jc w:val="both"/>
              <w:rPr>
                <w:sz w:val="28"/>
              </w:rPr>
            </w:pPr>
            <w:r>
              <w:rPr>
                <w:sz w:val="28"/>
              </w:rPr>
              <w:t>S’assurer que l’élève représente chaque sorte de polygone.</w:t>
            </w:r>
            <w:r w:rsidR="006B0831">
              <w:rPr>
                <w:sz w:val="28"/>
              </w:rPr>
              <w:t xml:space="preserve"> </w:t>
            </w:r>
            <w:r w:rsidR="002D6F12">
              <w:rPr>
                <w:sz w:val="28"/>
              </w:rPr>
              <w:t xml:space="preserve">Il est possible d’évaluer les polygones dessinés sur le papier quadrillé pour vérifier s’il </w:t>
            </w:r>
            <w:r w:rsidR="00C10DD8">
              <w:rPr>
                <w:sz w:val="28"/>
              </w:rPr>
              <w:t>peut identifier chaque type de polygones selon leurs propriétés.</w:t>
            </w:r>
          </w:p>
        </w:tc>
      </w:tr>
    </w:tbl>
    <w:p w14:paraId="410B81C6" w14:textId="77777777" w:rsidR="00373F96" w:rsidRDefault="00BC4CF7">
      <w:pPr>
        <w:rPr>
          <w:sz w:val="28"/>
        </w:rPr>
      </w:pPr>
    </w:p>
    <w:p w14:paraId="717E64F0" w14:textId="77777777" w:rsidR="00B2076B" w:rsidRDefault="00B2076B">
      <w:pPr>
        <w:rPr>
          <w:sz w:val="28"/>
        </w:rPr>
      </w:pPr>
    </w:p>
    <w:p w14:paraId="18F34D7E" w14:textId="77777777" w:rsidR="00B2076B" w:rsidRDefault="00B2076B" w:rsidP="00B2076B">
      <w:pPr>
        <w:jc w:val="right"/>
        <w:rPr>
          <w:b/>
          <w:sz w:val="28"/>
        </w:rPr>
      </w:pPr>
      <w:r w:rsidRPr="00B2076B">
        <w:rPr>
          <w:b/>
          <w:sz w:val="28"/>
        </w:rPr>
        <w:lastRenderedPageBreak/>
        <w:t>Annexe 1</w:t>
      </w:r>
    </w:p>
    <w:p w14:paraId="48F08974" w14:textId="77777777" w:rsidR="00B2076B" w:rsidRDefault="00B2076B" w:rsidP="00B2076B">
      <w:pPr>
        <w:jc w:val="right"/>
        <w:rPr>
          <w:b/>
          <w:sz w:val="28"/>
        </w:rPr>
      </w:pPr>
    </w:p>
    <w:p w14:paraId="4ED60733" w14:textId="77777777" w:rsidR="00B2076B" w:rsidRPr="00B2076B" w:rsidRDefault="00B2076B" w:rsidP="00B2076B">
      <w:pPr>
        <w:jc w:val="both"/>
        <w:rPr>
          <w:b/>
          <w:sz w:val="28"/>
        </w:rPr>
      </w:pPr>
      <w:r>
        <w:rPr>
          <w:noProof/>
        </w:rPr>
        <w:drawing>
          <wp:inline distT="0" distB="0" distL="0" distR="0" wp14:anchorId="03DF0420" wp14:editId="1DADF5E0">
            <wp:extent cx="6858000" cy="514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076B" w:rsidRPr="00B2076B" w:rsidSect="00D574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990AE" w14:textId="77777777" w:rsidR="00BC4CF7" w:rsidRDefault="00BC4CF7" w:rsidP="00E315BC">
      <w:pPr>
        <w:spacing w:after="0" w:line="240" w:lineRule="auto"/>
      </w:pPr>
      <w:r>
        <w:separator/>
      </w:r>
    </w:p>
  </w:endnote>
  <w:endnote w:type="continuationSeparator" w:id="0">
    <w:p w14:paraId="456530D7" w14:textId="77777777" w:rsidR="00BC4CF7" w:rsidRDefault="00BC4CF7" w:rsidP="00E3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025B6" w14:textId="77777777" w:rsidR="00BC4CF7" w:rsidRDefault="00BC4CF7" w:rsidP="00E315BC">
      <w:pPr>
        <w:spacing w:after="0" w:line="240" w:lineRule="auto"/>
      </w:pPr>
      <w:r>
        <w:separator/>
      </w:r>
    </w:p>
  </w:footnote>
  <w:footnote w:type="continuationSeparator" w:id="0">
    <w:p w14:paraId="3A5F9D97" w14:textId="77777777" w:rsidR="00BC4CF7" w:rsidRDefault="00BC4CF7" w:rsidP="00E31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34003"/>
    <w:multiLevelType w:val="hybridMultilevel"/>
    <w:tmpl w:val="BD20F1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74"/>
    <w:rsid w:val="000A28D2"/>
    <w:rsid w:val="000B03A3"/>
    <w:rsid w:val="000D67F8"/>
    <w:rsid w:val="00117774"/>
    <w:rsid w:val="002856B7"/>
    <w:rsid w:val="002C489F"/>
    <w:rsid w:val="002D6F12"/>
    <w:rsid w:val="003319C3"/>
    <w:rsid w:val="003F33EA"/>
    <w:rsid w:val="00425B4F"/>
    <w:rsid w:val="0052263E"/>
    <w:rsid w:val="006B0831"/>
    <w:rsid w:val="009B090C"/>
    <w:rsid w:val="009B253B"/>
    <w:rsid w:val="00A27CE0"/>
    <w:rsid w:val="00B2076B"/>
    <w:rsid w:val="00BC4CF7"/>
    <w:rsid w:val="00BC534B"/>
    <w:rsid w:val="00C10DD8"/>
    <w:rsid w:val="00C17316"/>
    <w:rsid w:val="00D57426"/>
    <w:rsid w:val="00DD0B5F"/>
    <w:rsid w:val="00E315BC"/>
    <w:rsid w:val="00E32CBB"/>
    <w:rsid w:val="00E73FAA"/>
    <w:rsid w:val="00F358C8"/>
    <w:rsid w:val="00F4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44D9"/>
  <w15:chartTrackingRefBased/>
  <w15:docId w15:val="{3FC0A2E9-8660-4617-A3AF-83FC2584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B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5BC"/>
  </w:style>
  <w:style w:type="paragraph" w:styleId="Footer">
    <w:name w:val="footer"/>
    <w:basedOn w:val="Normal"/>
    <w:link w:val="FooterChar"/>
    <w:uiPriority w:val="99"/>
    <w:unhideWhenUsed/>
    <w:rsid w:val="00E3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Mario Blouin</cp:lastModifiedBy>
  <cp:revision>2</cp:revision>
  <cp:lastPrinted>2018-07-19T17:17:00Z</cp:lastPrinted>
  <dcterms:created xsi:type="dcterms:W3CDTF">2018-08-21T21:17:00Z</dcterms:created>
  <dcterms:modified xsi:type="dcterms:W3CDTF">2018-08-21T21:17:00Z</dcterms:modified>
</cp:coreProperties>
</file>