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Wooden Toy Vehicle: Design Sketches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Idea Generation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336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055"/>
        <w:gridCol w:w="2670"/>
        <w:gridCol w:w="2880"/>
        <w:gridCol w:w="2880"/>
        <w:gridCol w:w="2880"/>
        <w:tblGridChange w:id="0">
          <w:tblGrid>
            <w:gridCol w:w="2055"/>
            <w:gridCol w:w="2670"/>
            <w:gridCol w:w="2880"/>
            <w:gridCol w:w="2880"/>
            <w:gridCol w:w="288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mallCap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vertAlign w:val="baseline"/>
                <w:rtl w:val="0"/>
              </w:rPr>
              <w:t xml:space="preserve">LEVEL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vertAlign w:val="baseline"/>
                <w:rtl w:val="0"/>
              </w:rPr>
              <w:t xml:space="preserve">LEVEL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vertAlign w:val="baseline"/>
                <w:rtl w:val="0"/>
              </w:rPr>
              <w:t xml:space="preserve">LEVEL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vertAlign w:val="baseline"/>
                <w:rtl w:val="0"/>
              </w:rPr>
              <w:t xml:space="preserve">LEVEL 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design is very similar to an existing design, with minor modifications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is not feasible to make many of the parts using common woodworking tools and techniques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Most of the commercially available premade parts (eg. wheels) are not accurately represented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design is clearly based on an existing design, with some significant modifications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is not feasible to make some of the parts using common woodworking tools and techniques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Some of the commercially available premade parts (eg. wheels) are not accurately represented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design is original, with some obvious influence from one or more existing designs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is feasible to make most parts using common woodworking tools and techniques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Most commercially available premade parts (eg. wheels) are accurately represented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design is highly original and not obviously derivative of existing designs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is feasible to make all or almost all parts using common woodworking tools and techniques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or almost all commercially available premade parts (eg. wheels) are accurately represented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Completeness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(Comm)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 of either the assembled or exploded vehicle has been partially completed and sketches of a few parts have been attempted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Sketches lack a significant amount of detail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 of either the assembled or exploded vehicle has been completed and sketches of a few parts have been completed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Some details have been omitted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Sketches of the assembled vehicle, the exploded vehicle and many parts have been included.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Most details have been included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Sketches of the assembled vehicle, the exploded vehicle and all or almost all parts have been included.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All or almost all details have been included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Conventions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(K/U)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Most sketches are drawn to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Most sketches are drawn in isometric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Some sketches are drawn to scale, while others are 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Some sketches are drawn in isometric, while others are not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Most sketches are drawn to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Most sketches are drawn in isometric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All or almost all sketches are drawn to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All or almost all sketches are drawn in isometric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Clarity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(Comm)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Sketches are messy, cluttered, and very difficult to read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Few or no annotations have been used to communicated ideas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Sketches are somewhat messy, cluttered, and difficult to read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Limited annotations have been used to communicated ideas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Sketches are mostly neat, clear, easy to read, and illustrate design ideas with considerable effectiveness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Some annotations have been used to communicate ideas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Sketches are neat, clear, easy to read, and illustrate design ideas with a high degree of effectiveness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Extensive annotations have been used to communicate ideas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