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  <w:rPr/>
      </w:pPr>
      <w:r w:rsidDel="00000000" w:rsidR="00000000" w:rsidRPr="00000000">
        <w:rPr>
          <w:rtl w:val="0"/>
        </w:rPr>
        <w:t xml:space="preserve">3D Model Checklist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u w:val="single"/>
          <w:rtl w:val="0"/>
        </w:rPr>
        <w:t xml:space="preserve">PARTS</w:t>
      </w: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Model has 10-15 unique parts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There are some complex parts that have complicated geometry and required several steps to make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Comic Sans MS" w:cs="Comic Sans MS" w:eastAsia="Comic Sans MS" w:hAnsi="Comic Sans MS"/>
          <w:sz w:val="20"/>
          <w:szCs w:val="20"/>
          <w:u w:val="none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Modeling tools such as ▢ Extrude, ▢ Revolve, ▢ Fillet, ▢ Chamfer, ▢ Array, ▢ Loft, ▢ Mirror, ▢ Emboss have been used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Parts have been assigned materials that enhance the overall appearance of the model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u w:val="single"/>
          <w:rtl w:val="0"/>
        </w:rPr>
        <w:t xml:space="preserve">ASSEMBLY</w:t>
      </w: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All parts are included in the assembly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>
          <w:rFonts w:ascii="Comic Sans MS" w:cs="Comic Sans MS" w:eastAsia="Comic Sans MS" w:hAnsi="Comic Sans MS"/>
          <w:sz w:val="20"/>
          <w:szCs w:val="20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Some parts have been created within the assembly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All parts are properly constrained: parts that shouldn’t move cannot move; parts that are supposed to rotate can rotate;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The model emulates an actual vehicle and is immediately recognizable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The overall model is aesthetically pleasing</w:t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  <w:rPr>
          <w:rFonts w:ascii="Comic Sans MS" w:cs="Comic Sans MS" w:eastAsia="Comic Sans MS" w:hAnsi="Comic Sans MS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u w:val="single"/>
          <w:rtl w:val="0"/>
        </w:rPr>
        <w:t xml:space="preserve">PRESENTATION</w:t>
      </w: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The model has been fully exploded.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The parts have been placed in a logical starting position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The parts are assembled in a logical sequence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Parts have been grouped where it makes sense to group them, but too many parts do not move at once.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There are no physical impossibilites (i.e. parts passing through each other.)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Parts have been hidden and appear just before moving into position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Camera movement has been used to enhance the presentation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u w:val="single"/>
          <w:rtl w:val="0"/>
        </w:rPr>
        <w:t xml:space="preserve">DRAWINGS</w:t>
      </w: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Title page: orthographic 3-view drawing of assembly with overall dimensions of model (length, width, height), and a full colour isometric view of assembled model.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Page 2: Exploded view of model with parts list and balloons (you may need to create a second presentation file for this purpose).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sz w:val="20"/>
          <w:szCs w:val="20"/>
          <w:rtl w:val="0"/>
        </w:rPr>
        <w:t xml:space="preserve">Dimensioned orthographic, isometric, detail, and section views of all parts; should give all information necessary for someone to construct the model</w:t>
      </w:r>
    </w:p>
    <w:p w:rsidR="00000000" w:rsidDel="00000000" w:rsidP="00000000" w:rsidRDefault="00000000" w:rsidRPr="00000000">
      <w:pPr>
        <w:spacing w:after="0" w:before="0" w:line="240" w:lineRule="auto"/>
        <w:ind w:left="720" w:hanging="720"/>
        <w:contextualSpacing w:val="0"/>
        <w:rPr>
          <w:rFonts w:ascii="Comic Sans MS" w:cs="Comic Sans MS" w:eastAsia="Comic Sans MS" w:hAnsi="Comic Sans MS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omic Sans MS"/>
  <w:font w:name="Georgia"/>
  <w:font w:name="Gungsuh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◻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◻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◻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◻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◻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Comic Sans MS" w:cs="Comic Sans MS" w:eastAsia="Comic Sans MS" w:hAnsi="Comic Sans MS"/>
      <w:b w:val="0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