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STORYBOARDING EXPLAINED</w:t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These are links to videos that can be used to help supplement your storyboarding lessons.</w:t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hyperlink r:id="rId5">
        <w:r w:rsidDel="00000000" w:rsidR="00000000" w:rsidRPr="00000000">
          <w:rPr>
            <w:color w:val="1155cc"/>
            <w:sz w:val="34"/>
            <w:szCs w:val="34"/>
            <w:u w:val="single"/>
            <w:rtl w:val="0"/>
          </w:rPr>
          <w:t xml:space="preserve">CLICK HERE for a SHORT PLAYLIST about Storyboarding!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-1057274</wp:posOffset>
          </wp:positionH>
          <wp:positionV relativeFrom="paragraph">
            <wp:posOffset>66675</wp:posOffset>
          </wp:positionV>
          <wp:extent cx="7829550" cy="918339"/>
          <wp:effectExtent b="0" l="0" r="0" t="0"/>
          <wp:wrapTopAndBottom distB="114300" distT="114300"/>
          <wp:docPr descr="header.jpg" id="1" name="image01.jpg"/>
          <a:graphic>
            <a:graphicData uri="http://schemas.openxmlformats.org/drawingml/2006/picture">
              <pic:pic>
                <pic:nvPicPr>
                  <pic:cNvPr descr="header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918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www.youtube.com/playlist?list=PLtpi54fq5_ec43QUrCEDGTJfeVSGAK-Wr" TargetMode="Externa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