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RUBRIC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Pre-Production: Final Storyboard (or Planning/Shotlist Format)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Visual w:val="0"/>
        <w:tblW w:w="88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410"/>
        <w:gridCol w:w="1335"/>
        <w:gridCol w:w="1290"/>
        <w:gridCol w:w="1290"/>
        <w:gridCol w:w="1290"/>
        <w:gridCol w:w="1065"/>
        <w:tblGridChange w:id="0">
          <w:tblGrid>
            <w:gridCol w:w="1170"/>
            <w:gridCol w:w="1410"/>
            <w:gridCol w:w="1335"/>
            <w:gridCol w:w="1290"/>
            <w:gridCol w:w="1290"/>
            <w:gridCol w:w="1290"/>
            <w:gridCol w:w="106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K/U,T, C,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1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50-59%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2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60-69%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3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70-79%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</w:t>
            </w:r>
          </w:p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80-100%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K/U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Structure in Storyboard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(PSA a start, middle and finish – easy to follow)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 is poor.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 is fair.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 is good.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 is excellent.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Storyboard –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evidence of careful planning –anyone should be able to film from your storyboard.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Storyboards show little planning.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Storyboards show some planning.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Storyboards show good planning.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Storyboards show substantial planning.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b w:val="1"/>
        <w:sz w:val="24"/>
        <w:szCs w:val="24"/>
        <w:rtl w:val="0"/>
      </w:rPr>
      <w:t xml:space="preserve">TGJ 4M1 Communications Technology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0" locked="0" relativeHeight="0" simplePos="0">
          <wp:simplePos x="0" y="0"/>
          <wp:positionH relativeFrom="margin">
            <wp:posOffset>-1057274</wp:posOffset>
          </wp:positionH>
          <wp:positionV relativeFrom="paragraph">
            <wp:posOffset>85725</wp:posOffset>
          </wp:positionV>
          <wp:extent cx="7829550" cy="918339"/>
          <wp:effectExtent b="0" l="0" r="0" t="0"/>
          <wp:wrapTopAndBottom distB="114300" distT="114300"/>
          <wp:docPr descr="header.jpg" id="1" name="image01.jpg"/>
          <a:graphic>
            <a:graphicData uri="http://schemas.openxmlformats.org/drawingml/2006/picture">
              <pic:pic>
                <pic:nvPicPr>
                  <pic:cNvPr descr="header.jpg"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9550" cy="918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