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>
          <w:b w:val="1"/>
        </w:rPr>
      </w:pPr>
      <w:bookmarkStart w:colFirst="0" w:colLast="0" w:name="_atn04sf6w5ko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Appendix A: </w:t>
        <w:br w:type="textWrapping"/>
        <w:t xml:space="preserve">Appendix Title – END TABLE ASSIGNMENT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The Assignment: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You have been asked to design a end table as part of a mass (class) production unit. Your task is to construct and finish a table that will be  16” wide X 16” deep X 16”high. The following instructions are outlined below will be a guide for the process the whole class will be following to completion.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Using the included plans Prepare a bill of material and route sheets.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 top and legs will require you glue pieces together. Ensure you cut pieces to your pieces to ’rough dimensions’.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Ensure you have square jointed edges to achieve a tight glue joint. Allow glue-up to ensure overnight before further machining.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Machine all parts to finished dimensions.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Customise top and rail edges with a routered profile if desired.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Drill pocket holes in rails for assembly.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Sand all pieces using proper sanding steps sand your table to 400 grit in preparation for finishing.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Assemble the legs to the rails with glue and the proper screws.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Centre and attach the top without glue to allow for expansion and contraction of the top.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Finish the night stand with a water based urethane.</w:t>
      </w:r>
    </w:p>
    <w:p w:rsidR="00000000" w:rsidDel="00000000" w:rsidP="00000000" w:rsidRDefault="00000000" w:rsidRPr="00000000">
      <w:r w:rsidDel="00000000" w:rsidR="00000000" w:rsidRPr="00000000">
        <w:rPr>
          <w:rtl w:val="0"/>
        </w:rPr>
        <w:t xml:space="preserve">Evaluate Product to ensure it meets the exemplar. 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br w:type="page"/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>
          <w:b w:val="1"/>
          <w:sz w:val="22"/>
          <w:szCs w:val="22"/>
        </w:rPr>
      </w:pPr>
      <w:bookmarkStart w:colFirst="0" w:colLast="0" w:name="_2r3awvmdcczl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Appendix F</w:t>
        <w:br w:type="textWrapping"/>
        <w:t xml:space="preserve">Appendix Title: END TABLE EVALUATION RUBRIC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4"/>
        <w:gridCol w:w="2914"/>
        <w:gridCol w:w="2914"/>
        <w:gridCol w:w="2914"/>
        <w:gridCol w:w="2914"/>
        <w:tblGridChange w:id="0">
          <w:tblGrid>
            <w:gridCol w:w="2914"/>
            <w:gridCol w:w="2914"/>
            <w:gridCol w:w="2914"/>
            <w:gridCol w:w="2914"/>
            <w:gridCol w:w="2914"/>
          </w:tblGrid>
        </w:tblGridChange>
      </w:tblGrid>
      <w:tr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</w:t>
            </w:r>
            <w:r w:rsidDel="00000000" w:rsidR="00000000" w:rsidRPr="00000000">
              <w:rPr>
                <w:b w:val="1"/>
                <w:rtl w:val="0"/>
              </w:rPr>
              <w:t xml:space="preserve">es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1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2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3</w:t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</w:t>
            </w:r>
          </w:p>
        </w:tc>
      </w:tr>
      <w:tr>
        <w:tc>
          <w:tcPr>
            <w:shd w:fill="c9daf8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</w:t>
            </w:r>
          </w:p>
        </w:tc>
        <w:tc>
          <w:tcPr>
            <w:shd w:fill="c9daf8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Knowledge of content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(e.g., facts, equipment, terminology, materials)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</w:t>
              <w:br w:type="textWrapping"/>
              <w:t xml:space="preserve">(use and terminology of tools, End Table components, etc)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</w:t>
              <w:br w:type="textWrapping"/>
              <w:t xml:space="preserve">(use and terminology of tools, End Table components, etc)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</w:t>
              <w:br w:type="textWrapping"/>
              <w:t xml:space="preserve">knowledge of content</w:t>
              <w:br w:type="textWrapping"/>
              <w:t xml:space="preserve">(use and terminology of tools, End Table components, etc)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</w:t>
              <w:br w:type="textWrapping"/>
              <w:t xml:space="preserve">(use and terminology of tools, End Table components, etc)</w:t>
            </w:r>
          </w:p>
        </w:tc>
      </w:tr>
      <w:tr>
        <w:tc>
          <w:tcPr>
            <w:shd w:fill="a4c2f4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Thinking</w:t>
            </w:r>
          </w:p>
        </w:tc>
        <w:tc>
          <w:tcPr>
            <w:shd w:fill="a4c2f4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Use of planning skills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(e.g., identifying the problem ,selecting strategies and</w:t>
              <w:br w:type="textWrapping"/>
              <w:t xml:space="preserve">resources, scheduling)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limited effectiveness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some effectiveness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</w:t>
              <w:br w:type="textWrapping"/>
              <w:t xml:space="preserve">considerable effectiveness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a</w:t>
              <w:br w:type="textWrapping"/>
              <w:t xml:space="preserve">high degree of effectiveness</w:t>
              <w:br w:type="textWrapping"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Use of processing skills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(e.g., analysing and interpreting information, reasoning, generating and evaluating solutions, forming conclusions)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limited effectiveness</w:t>
              <w:br w:type="textWrapping"/>
              <w:t xml:space="preserve">(e.g. use of pencil or software to develop orthographic drawings, and cut list to construct the End Table Project)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some effectiveness</w:t>
              <w:br w:type="textWrapping"/>
              <w:t xml:space="preserve">(e.g. use of pencil or software to develop orthographic drawings and cut list to construct the End Table Project)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</w:t>
              <w:br w:type="textWrapping"/>
              <w:t xml:space="preserve">skills with considerable</w:t>
              <w:br w:type="textWrapping"/>
              <w:t xml:space="preserve">effectiveness</w:t>
              <w:br w:type="textWrapping"/>
              <w:t xml:space="preserve">(e.g. use of pencil or software to develop orthographic drawings and cut list to construct the End Table Project)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a high degree of effectiveness (e.g. use of pencil or software to develop orthographic drawings and cut list to construct the End Table Project)</w:t>
            </w:r>
          </w:p>
        </w:tc>
      </w:tr>
      <w:tr>
        <w:tc>
          <w:tcPr>
            <w:shd w:fill="cfe2f3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</w:t>
            </w:r>
          </w:p>
        </w:tc>
        <w:tc>
          <w:tcPr>
            <w:shd w:fill="cfe2f3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Application of knowledge</w:t>
              <w:br w:type="textWrapping"/>
              <w:t xml:space="preserve">and skills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(e.g., concepts, processes, use of equipment and technology) in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familiar contexts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limited effectiveness</w:t>
              <w:br w:type="textWrapping"/>
              <w:t xml:space="preserve">(e.g. assembly, finishing, etc)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some effectiveness</w:t>
              <w:br w:type="textWrapping"/>
              <w:t xml:space="preserve">(e.g. assembly, finishing, etc)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considerable</w:t>
              <w:br w:type="textWrapping"/>
              <w:t xml:space="preserve">effectiveness (e.g. assembly, finishing, etc)</w:t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a high degree of</w:t>
              <w:br w:type="textWrapping"/>
              <w:t xml:space="preserve">effectiveness (e.g., assembly, finishing, etc)</w:t>
              <w:br w:type="textWrapping"/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>
          <w:sz w:val="20"/>
          <w:szCs w:val="20"/>
        </w:rPr>
      </w:pPr>
      <w:bookmarkStart w:colFirst="0" w:colLast="0" w:name="_r4rc466hr8jt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Appendix G</w:t>
        <w:br w:type="textWrapping"/>
      </w:r>
      <w:r w:rsidDel="00000000" w:rsidR="00000000" w:rsidRPr="00000000">
        <w:rPr>
          <w:b w:val="1"/>
          <w:sz w:val="22"/>
          <w:szCs w:val="22"/>
          <w:rtl w:val="0"/>
        </w:rPr>
        <w:t xml:space="preserve">Appendix Title –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END TABLE - SELF ASSESSMENT EXIT CARD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Complete the self-assessment below. Circle a number in the Self-assessment column to describe your readiness for the End Table Project, based on past experience and your preferences for ways of presenting:</w:t>
        <w:br w:type="textWrapping"/>
        <w:t xml:space="preserve">1) I do not think I am ready to do this because...</w:t>
        <w:br w:type="textWrapping"/>
        <w:t xml:space="preserve">2) I could do this if...</w:t>
        <w:br w:type="textWrapping"/>
        <w:t xml:space="preserve">3) I could do this with confidence because...</w:t>
        <w:br w:type="textWrapping"/>
        <w:t xml:space="preserve">Explain three of your choices in the “My Comments” column by completing the statement for the number you chose (e.g., 3. I could do this</w:t>
        <w:br w:type="textWrapping"/>
        <w:t xml:space="preserve">with confidence because I always do better in oral presentations). Submit this to your teacher as an Exit Card.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27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7425"/>
        <w:tblGridChange w:id="0">
          <w:tblGrid>
            <w:gridCol w:w="5370"/>
            <w:gridCol w:w="7425"/>
          </w:tblGrid>
        </w:tblGridChange>
      </w:tblGrid>
      <w:tr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Nightstand Skills and Knowledge</w:t>
              <w:tab/>
            </w:r>
          </w:p>
        </w:tc>
        <w:tc>
          <w:tcPr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My Comments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List three things you learned in completing this activity.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What questions, ideas and feelings have been raised by this lesson?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What was your favourite part of this activity? Why?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What was your least favourite part of this activity? Why?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Evaluate your participation in class today. What did you do well? What would you like to do differently next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Self-assessment ( how did you do overall)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                          1……….2………..3……….4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1906" w:w="16838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line="276" w:lineRule="auto"/>
      <w:contextualSpacing w:val="0"/>
      <w:rPr/>
    </w:pPr>
    <w:r w:rsidDel="00000000" w:rsidR="00000000" w:rsidRPr="00000000">
      <w:rPr>
        <w:rFonts w:ascii="Arial Black" w:cs="Arial Black" w:eastAsia="Arial Black" w:hAnsi="Arial Black"/>
        <w:color w:val="666666"/>
        <w:rtl w:val="0"/>
      </w:rPr>
      <w:t xml:space="preserve">TCJ 2O Custom Woodworking</w:t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Arial Black" w:cs="Arial Black" w:eastAsia="Arial Black" w:hAnsi="Arial Black"/>
        <w:color w:val="666666"/>
        <w:rtl w:val="0"/>
      </w:rPr>
      <w:t xml:space="preserve">Page </w:t>
    </w:r>
    <w:fldSimple w:instr="PAGE" w:fldLock="0" w:dirty="0">
      <w:r w:rsidDel="00000000" w:rsidR="00000000" w:rsidRPr="00000000">
        <w:rPr>
          <w:rFonts w:ascii="Arial Black" w:cs="Arial Black" w:eastAsia="Arial Black" w:hAnsi="Arial Black"/>
          <w:color w:val="666666"/>
        </w:rPr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0" locked="0" relativeHeight="0" simplePos="0">
          <wp:simplePos x="0" y="0"/>
          <wp:positionH relativeFrom="margin">
            <wp:posOffset>57150</wp:posOffset>
          </wp:positionH>
          <wp:positionV relativeFrom="paragraph">
            <wp:posOffset>123825</wp:posOffset>
          </wp:positionV>
          <wp:extent cx="7829550" cy="918339"/>
          <wp:effectExtent b="0" l="0" r="0" t="0"/>
          <wp:wrapTopAndBottom distB="57150" distT="57150"/>
          <wp:docPr descr="header.jpg" id="1" name="image01.jpg"/>
          <a:graphic>
            <a:graphicData uri="http://schemas.openxmlformats.org/drawingml/2006/picture">
              <pic:pic>
                <pic:nvPicPr>
                  <pic:cNvPr descr="header.jpg"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918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