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Skeletal System- Minimum Structures to Identify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AXIAL SKELETON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Skull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Frontal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·Frontal (coronal suture)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Parietal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·Sagittal suture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Temporal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·Squamous suture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Occipital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·Lamboid suture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·Foramen magnum Mandible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Sphenoid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Maxilla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Zygomatic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Nasal bone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**Hyoid (does NOT articulate with any other bone)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Vertebral Column (be able to differentiate between cervical, thoracic, and lumbar)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Atlas (be able to ID the exact vertebrae C1)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Axis (be able to ID the exact </w:t>
      </w:r>
      <w:r w:rsidDel="00000000" w:rsidR="00000000" w:rsidRPr="00000000">
        <w:rPr>
          <w:sz w:val="14"/>
          <w:szCs w:val="14"/>
          <w:rtl w:val="0"/>
        </w:rPr>
        <w:t xml:space="preserve">vertebrae C2</w:t>
      </w:r>
      <w:r w:rsidDel="00000000" w:rsidR="00000000" w:rsidRPr="00000000">
        <w:rPr>
          <w:sz w:val="14"/>
          <w:szCs w:val="14"/>
          <w:rtl w:val="0"/>
        </w:rPr>
        <w:t xml:space="preserve">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Thoracic vertebrae (no specific number required)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Lumbar vertebrae (no specific number required)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Sacrum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Coccyx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Sternum (whole bone and the 3 regions)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Manubrium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Body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Xiphoid Process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** Differentiate between cartilage that connects to either a TRUE rib or a FALSE rib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APPENDICULAR SKELETON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Clavicle Scapula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·Glenoid cavity (fossa)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·Spine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Humerus (some markings are anterior, others are posterior)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·Head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·Trochlea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·Capitulum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·Olecranon fossa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Radius Ulna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·Trochlear notch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·Styloid process Carpals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** 8 individual carpals will be identified using a FIGURE from the notes Metacarpals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Phalanges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·Proximal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·Distal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·Middle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Femur (some markings are anterior, others are posterior)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·Head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·Patellar surface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·Greater trochanter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·Lesser trochanter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Tibia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·Anterior crest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·Medial malleolus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Fibula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360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Tarsals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·Calcaneus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720" w:hanging="36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 xml:space="preserve">·Talus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Metatarsals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Phalanges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·Proximal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·Distal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            ·Middle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