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33B9" w14:textId="77777777" w:rsidR="00373DD1" w:rsidRDefault="00373DD1">
      <w:pPr>
        <w:pStyle w:val="Title"/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97A7"/>
        </w:rPr>
      </w:pPr>
      <w:bookmarkStart w:id="0" w:name="_heading=h.eu0wgx76rsie" w:colFirst="0" w:colLast="0"/>
      <w:bookmarkEnd w:id="0"/>
    </w:p>
    <w:p w14:paraId="21D008D1" w14:textId="77777777" w:rsidR="00373DD1" w:rsidRDefault="00000000">
      <w:pPr>
        <w:pStyle w:val="Title"/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97A7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  <w:color w:val="0097A7"/>
        </w:rPr>
        <w:t xml:space="preserve">Instructions for Educator - </w:t>
      </w:r>
    </w:p>
    <w:p w14:paraId="44EEEDC7" w14:textId="77777777" w:rsidR="00373DD1" w:rsidRDefault="00000000">
      <w:pPr>
        <w:pStyle w:val="Title"/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97A7"/>
        </w:rPr>
      </w:pPr>
      <w:bookmarkStart w:id="2" w:name="_heading=h.30j0zll" w:colFirst="0" w:colLast="0"/>
      <w:bookmarkEnd w:id="2"/>
      <w:r>
        <w:rPr>
          <w:rFonts w:ascii="Century Gothic" w:eastAsia="Century Gothic" w:hAnsi="Century Gothic" w:cs="Century Gothic"/>
          <w:b/>
          <w:color w:val="0097A7"/>
        </w:rPr>
        <w:t>Customer Service Certification</w:t>
      </w:r>
    </w:p>
    <w:p w14:paraId="1D24B972" w14:textId="77777777" w:rsidR="00373DD1" w:rsidRDefault="00373DD1"/>
    <w:p w14:paraId="24EB0F33" w14:textId="77777777" w:rsidR="00373DD1" w:rsidRDefault="00000000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  <w:r>
        <w:rPr>
          <w:rFonts w:ascii="Century Gothic" w:eastAsia="Century Gothic" w:hAnsi="Century Gothic" w:cs="Century Gothic"/>
          <w:color w:val="0097A7"/>
          <w:sz w:val="28"/>
          <w:szCs w:val="28"/>
        </w:rPr>
        <w:t>Certification Overview</w:t>
      </w:r>
    </w:p>
    <w:p w14:paraId="68B2E7A0" w14:textId="77777777" w:rsidR="00373DD1" w:rsidRDefault="00000000">
      <w:p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 xml:space="preserve">It is designed to provide a broad-based Customer Service certification that can be completed by </w:t>
      </w:r>
      <w:r>
        <w:rPr>
          <w:rFonts w:ascii="Century Gothic" w:eastAsia="Century Gothic" w:hAnsi="Century Gothic" w:cs="Century Gothic"/>
          <w:b/>
          <w:color w:val="374151"/>
        </w:rPr>
        <w:t>all sectors of SHSM</w:t>
      </w:r>
      <w:r>
        <w:rPr>
          <w:rFonts w:ascii="Century Gothic" w:eastAsia="Century Gothic" w:hAnsi="Century Gothic" w:cs="Century Gothic"/>
          <w:color w:val="374151"/>
        </w:rPr>
        <w:t xml:space="preserve">. As students progress through each module, there is a </w:t>
      </w:r>
      <w:r>
        <w:rPr>
          <w:rFonts w:ascii="Century Gothic" w:eastAsia="Century Gothic" w:hAnsi="Century Gothic" w:cs="Century Gothic"/>
          <w:b/>
          <w:color w:val="374151"/>
        </w:rPr>
        <w:t>student workbook</w:t>
      </w:r>
      <w:r>
        <w:rPr>
          <w:rFonts w:ascii="Century Gothic" w:eastAsia="Century Gothic" w:hAnsi="Century Gothic" w:cs="Century Gothic"/>
          <w:color w:val="374151"/>
        </w:rPr>
        <w:t xml:space="preserve"> that they can add their thoughts and ideas to. It is clearly indicated in each module when they will need to add anything to the student workbook. </w:t>
      </w:r>
    </w:p>
    <w:p w14:paraId="326CC5A2" w14:textId="77777777" w:rsidR="00373DD1" w:rsidRDefault="00000000">
      <w:pPr>
        <w:spacing w:before="24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 xml:space="preserve">This certification in Customer Service </w:t>
      </w:r>
      <w:r>
        <w:rPr>
          <w:rFonts w:ascii="Century Gothic" w:eastAsia="Century Gothic" w:hAnsi="Century Gothic" w:cs="Century Gothic"/>
          <w:b/>
          <w:color w:val="374151"/>
        </w:rPr>
        <w:t>includes an introduction, six modules, and two extension modules</w:t>
      </w:r>
      <w:r>
        <w:rPr>
          <w:rFonts w:ascii="Century Gothic" w:eastAsia="Century Gothic" w:hAnsi="Century Gothic" w:cs="Century Gothic"/>
          <w:color w:val="374151"/>
        </w:rPr>
        <w:t>.</w:t>
      </w:r>
    </w:p>
    <w:p w14:paraId="11E6AFE5" w14:textId="77777777" w:rsidR="00373DD1" w:rsidRDefault="00000000">
      <w:pPr>
        <w:numPr>
          <w:ilvl w:val="0"/>
          <w:numId w:val="1"/>
        </w:numPr>
        <w:ind w:left="88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Modules 1 and 2 provide a definition, and have students consider the importance of customer service to the success of a business and identify essential skills and traits.</w:t>
      </w:r>
    </w:p>
    <w:p w14:paraId="59F6A813" w14:textId="77777777" w:rsidR="00373DD1" w:rsidRDefault="00000000">
      <w:pPr>
        <w:numPr>
          <w:ilvl w:val="0"/>
          <w:numId w:val="1"/>
        </w:numPr>
        <w:ind w:left="88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Modules 3 through 5 are more application based, featuring the notion of “surprise and delight” and typical customer service scenarios.</w:t>
      </w:r>
    </w:p>
    <w:p w14:paraId="669AD078" w14:textId="77777777" w:rsidR="00373DD1" w:rsidRDefault="00000000">
      <w:pPr>
        <w:numPr>
          <w:ilvl w:val="0"/>
          <w:numId w:val="1"/>
        </w:numPr>
        <w:ind w:left="88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Module 6 takes a closer look at the concept of customer experience and how it connects to customer service.</w:t>
      </w:r>
    </w:p>
    <w:p w14:paraId="5C3C7730" w14:textId="77777777" w:rsidR="00373DD1" w:rsidRDefault="00000000">
      <w:pPr>
        <w:numPr>
          <w:ilvl w:val="0"/>
          <w:numId w:val="1"/>
        </w:numPr>
        <w:ind w:left="88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Extension module 1 introduces Lean Six Sigma, which is a team-focused managerial approach that seeks to improve performance by eliminating resource waste and defects. It is used by companies and organizations in all SHSM sectors.</w:t>
      </w:r>
    </w:p>
    <w:p w14:paraId="16B56659" w14:textId="77777777" w:rsidR="00373DD1" w:rsidRDefault="00000000">
      <w:pPr>
        <w:numPr>
          <w:ilvl w:val="0"/>
          <w:numId w:val="1"/>
        </w:numPr>
        <w:ind w:left="880"/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Extension model 2 connects Customer Service to OVIN (Ontario Vehicle Innovation Network). OVIN has connections to all SHSM sectors.</w:t>
      </w:r>
    </w:p>
    <w:p w14:paraId="48242C1D" w14:textId="77777777" w:rsidR="00373DD1" w:rsidRDefault="00373DD1">
      <w:pPr>
        <w:ind w:left="720"/>
        <w:rPr>
          <w:rFonts w:ascii="Century Gothic" w:eastAsia="Century Gothic" w:hAnsi="Century Gothic" w:cs="Century Gothic"/>
          <w:color w:val="374151"/>
        </w:rPr>
      </w:pPr>
    </w:p>
    <w:p w14:paraId="2EBD2ED3" w14:textId="77777777" w:rsidR="00373DD1" w:rsidRDefault="00000000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  <w:r>
        <w:rPr>
          <w:rFonts w:ascii="Century Gothic" w:eastAsia="Century Gothic" w:hAnsi="Century Gothic" w:cs="Century Gothic"/>
          <w:color w:val="0097A7"/>
          <w:sz w:val="28"/>
          <w:szCs w:val="28"/>
        </w:rPr>
        <w:t>Certification Format Options</w:t>
      </w:r>
    </w:p>
    <w:p w14:paraId="2ABA29C6" w14:textId="77777777" w:rsidR="00373DD1" w:rsidRDefault="00000000">
      <w:p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 xml:space="preserve">This certification can be educator-led or asynchronously completed by students. It is available as a </w:t>
      </w:r>
      <w:hyperlink r:id="rId8">
        <w:r>
          <w:rPr>
            <w:rFonts w:ascii="Century Gothic" w:eastAsia="Century Gothic" w:hAnsi="Century Gothic" w:cs="Century Gothic"/>
            <w:color w:val="1155CC"/>
            <w:u w:val="single"/>
          </w:rPr>
          <w:t>website</w:t>
        </w:r>
      </w:hyperlink>
      <w:r>
        <w:rPr>
          <w:rFonts w:ascii="Century Gothic" w:eastAsia="Century Gothic" w:hAnsi="Century Gothic" w:cs="Century Gothic"/>
          <w:color w:val="374151"/>
        </w:rPr>
        <w:t xml:space="preserve"> or </w:t>
      </w:r>
      <w:hyperlink r:id="rId9">
        <w:r>
          <w:rPr>
            <w:rFonts w:ascii="Century Gothic" w:eastAsia="Century Gothic" w:hAnsi="Century Gothic" w:cs="Century Gothic"/>
            <w:color w:val="1155CC"/>
            <w:u w:val="single"/>
          </w:rPr>
          <w:t>slide deck</w:t>
        </w:r>
      </w:hyperlink>
      <w:r>
        <w:rPr>
          <w:rFonts w:ascii="Century Gothic" w:eastAsia="Century Gothic" w:hAnsi="Century Gothic" w:cs="Century Gothic"/>
          <w:color w:val="374151"/>
        </w:rPr>
        <w:t>. Both the website and slide deck have links that allow educators and students to navigate between each module.</w:t>
      </w:r>
    </w:p>
    <w:p w14:paraId="42E15198" w14:textId="77777777" w:rsidR="00373DD1" w:rsidRDefault="00373DD1">
      <w:pPr>
        <w:rPr>
          <w:rFonts w:ascii="Century Gothic" w:eastAsia="Century Gothic" w:hAnsi="Century Gothic" w:cs="Century Gothic"/>
          <w:color w:val="374151"/>
        </w:rPr>
      </w:pPr>
    </w:p>
    <w:p w14:paraId="590404B1" w14:textId="77777777" w:rsidR="00373DD1" w:rsidRDefault="00000000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  <w:r>
        <w:rPr>
          <w:rFonts w:ascii="Century Gothic" w:eastAsia="Century Gothic" w:hAnsi="Century Gothic" w:cs="Century Gothic"/>
          <w:color w:val="374151"/>
        </w:rPr>
        <w:t>It can be completed as a ½ day certification or over the course of a few class periods.</w:t>
      </w:r>
    </w:p>
    <w:p w14:paraId="0A34D74A" w14:textId="77777777" w:rsidR="00373DD1" w:rsidRDefault="00373DD1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</w:p>
    <w:p w14:paraId="2833F552" w14:textId="77777777" w:rsidR="00373DD1" w:rsidRDefault="00373DD1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</w:p>
    <w:p w14:paraId="6C57108C" w14:textId="77777777" w:rsidR="00373DD1" w:rsidRDefault="00000000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  <w:r>
        <w:rPr>
          <w:rFonts w:ascii="Century Gothic" w:eastAsia="Century Gothic" w:hAnsi="Century Gothic" w:cs="Century Gothic"/>
          <w:color w:val="0097A7"/>
          <w:sz w:val="28"/>
          <w:szCs w:val="28"/>
        </w:rPr>
        <w:t>Certification Assessment Options</w:t>
      </w:r>
    </w:p>
    <w:p w14:paraId="6322A8D1" w14:textId="77777777" w:rsidR="00373DD1" w:rsidRDefault="00000000">
      <w:p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For students to receive this certification, educators can choose to have students submit the student workbook and/or complete a multiple choice quiz.</w:t>
      </w:r>
    </w:p>
    <w:p w14:paraId="43B351BC" w14:textId="77777777" w:rsidR="00373DD1" w:rsidRDefault="00373DD1">
      <w:pPr>
        <w:rPr>
          <w:rFonts w:ascii="Century Gothic" w:eastAsia="Century Gothic" w:hAnsi="Century Gothic" w:cs="Century Gothic"/>
          <w:color w:val="374151"/>
        </w:rPr>
      </w:pPr>
    </w:p>
    <w:p w14:paraId="51538425" w14:textId="77777777" w:rsidR="00373DD1" w:rsidRDefault="00000000">
      <w:pPr>
        <w:rPr>
          <w:rFonts w:ascii="Century Gothic" w:eastAsia="Century Gothic" w:hAnsi="Century Gothic" w:cs="Century Gothic"/>
          <w:color w:val="374151"/>
        </w:rPr>
      </w:pPr>
      <w:r>
        <w:rPr>
          <w:rFonts w:ascii="Century Gothic" w:eastAsia="Century Gothic" w:hAnsi="Century Gothic" w:cs="Century Gothic"/>
          <w:color w:val="374151"/>
        </w:rPr>
        <w:t>There are 3 separate student workbooks:</w:t>
      </w:r>
    </w:p>
    <w:p w14:paraId="0C015A09" w14:textId="77777777" w:rsidR="00373DD1" w:rsidRDefault="00000000">
      <w:pPr>
        <w:numPr>
          <w:ilvl w:val="0"/>
          <w:numId w:val="2"/>
        </w:numPr>
        <w:rPr>
          <w:rFonts w:ascii="Century Gothic" w:eastAsia="Century Gothic" w:hAnsi="Century Gothic" w:cs="Century Gothic"/>
          <w:color w:val="374151"/>
        </w:rPr>
      </w:pPr>
      <w:hyperlink r:id="rId10">
        <w:r>
          <w:rPr>
            <w:rFonts w:ascii="Century Gothic" w:eastAsia="Century Gothic" w:hAnsi="Century Gothic" w:cs="Century Gothic"/>
            <w:color w:val="1155CC"/>
            <w:u w:val="single"/>
          </w:rPr>
          <w:t>Modules 1-6</w:t>
        </w:r>
      </w:hyperlink>
    </w:p>
    <w:p w14:paraId="2AE7AF89" w14:textId="77777777" w:rsidR="00373DD1" w:rsidRDefault="00000000">
      <w:pPr>
        <w:numPr>
          <w:ilvl w:val="0"/>
          <w:numId w:val="2"/>
        </w:numPr>
        <w:rPr>
          <w:rFonts w:ascii="Century Gothic" w:eastAsia="Century Gothic" w:hAnsi="Century Gothic" w:cs="Century Gothic"/>
          <w:color w:val="374151"/>
        </w:rPr>
      </w:pPr>
      <w:hyperlink r:id="rId11">
        <w:r>
          <w:rPr>
            <w:rFonts w:ascii="Century Gothic" w:eastAsia="Century Gothic" w:hAnsi="Century Gothic" w:cs="Century Gothic"/>
            <w:color w:val="1155CC"/>
            <w:u w:val="single"/>
          </w:rPr>
          <w:t>Extension Module: Lean Six Sigma</w:t>
        </w:r>
      </w:hyperlink>
    </w:p>
    <w:p w14:paraId="1545F151" w14:textId="77777777" w:rsidR="00373DD1" w:rsidRDefault="00000000">
      <w:pPr>
        <w:numPr>
          <w:ilvl w:val="0"/>
          <w:numId w:val="2"/>
        </w:numPr>
        <w:rPr>
          <w:rFonts w:ascii="Century Gothic" w:eastAsia="Century Gothic" w:hAnsi="Century Gothic" w:cs="Century Gothic"/>
          <w:color w:val="374151"/>
        </w:rPr>
      </w:pPr>
      <w:hyperlink r:id="rId12">
        <w:r>
          <w:rPr>
            <w:rFonts w:ascii="Century Gothic" w:eastAsia="Century Gothic" w:hAnsi="Century Gothic" w:cs="Century Gothic"/>
            <w:color w:val="1155CC"/>
            <w:u w:val="single"/>
          </w:rPr>
          <w:t>Extension Module: Connecting Customer Service to the Ontario Vehicle Innovation Network (OVIN)</w:t>
        </w:r>
      </w:hyperlink>
    </w:p>
    <w:p w14:paraId="37475C09" w14:textId="77777777" w:rsidR="00373DD1" w:rsidRDefault="00373DD1">
      <w:pPr>
        <w:rPr>
          <w:rFonts w:ascii="Century Gothic" w:eastAsia="Century Gothic" w:hAnsi="Century Gothic" w:cs="Century Gothic"/>
          <w:color w:val="374151"/>
        </w:rPr>
      </w:pPr>
    </w:p>
    <w:p w14:paraId="47A2942B" w14:textId="77777777" w:rsidR="00373DD1" w:rsidRDefault="00373DD1">
      <w:pPr>
        <w:rPr>
          <w:rFonts w:ascii="Century Gothic" w:eastAsia="Century Gothic" w:hAnsi="Century Gothic" w:cs="Century Gothic"/>
          <w:color w:val="374151"/>
        </w:rPr>
      </w:pPr>
    </w:p>
    <w:p w14:paraId="431B19BA" w14:textId="77777777" w:rsidR="00373DD1" w:rsidRDefault="00000000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  <w:hyperlink r:id="rId13">
        <w:r>
          <w:rPr>
            <w:rFonts w:ascii="Century Gothic" w:eastAsia="Century Gothic" w:hAnsi="Century Gothic" w:cs="Century Gothic"/>
            <w:color w:val="1155CC"/>
            <w:sz w:val="28"/>
            <w:szCs w:val="28"/>
            <w:u w:val="single"/>
          </w:rPr>
          <w:t>Certificate sample</w:t>
        </w:r>
      </w:hyperlink>
    </w:p>
    <w:p w14:paraId="01B6C1D3" w14:textId="77777777" w:rsidR="00373DD1" w:rsidRDefault="00373DD1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</w:p>
    <w:p w14:paraId="5B36798B" w14:textId="77777777" w:rsidR="00373DD1" w:rsidRDefault="00373DD1">
      <w:pPr>
        <w:rPr>
          <w:rFonts w:ascii="Century Gothic" w:eastAsia="Century Gothic" w:hAnsi="Century Gothic" w:cs="Century Gothic"/>
          <w:color w:val="0097A7"/>
          <w:sz w:val="28"/>
          <w:szCs w:val="28"/>
        </w:rPr>
      </w:pPr>
    </w:p>
    <w:sectPr w:rsidR="00373DD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FA34" w14:textId="77777777" w:rsidR="00BA089F" w:rsidRDefault="00BA089F">
      <w:pPr>
        <w:spacing w:line="240" w:lineRule="auto"/>
      </w:pPr>
      <w:r>
        <w:separator/>
      </w:r>
    </w:p>
  </w:endnote>
  <w:endnote w:type="continuationSeparator" w:id="0">
    <w:p w14:paraId="03538D34" w14:textId="77777777" w:rsidR="00BA089F" w:rsidRDefault="00BA0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848" w14:textId="77777777" w:rsidR="00373DD1" w:rsidRDefault="00000000">
    <w:r>
      <w:rPr>
        <w:rFonts w:ascii="Century Gothic" w:eastAsia="Century Gothic" w:hAnsi="Century Gothic" w:cs="Century Gothic"/>
        <w:noProof/>
        <w:color w:val="374151"/>
      </w:rPr>
      <w:drawing>
        <wp:inline distT="114300" distB="114300" distL="114300" distR="114300" wp14:anchorId="5B1297DB" wp14:editId="7358966E">
          <wp:extent cx="5314950" cy="266700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11004"/>
                  <a:stretch>
                    <a:fillRect/>
                  </a:stretch>
                </pic:blipFill>
                <pic:spPr>
                  <a:xfrm>
                    <a:off x="0" y="0"/>
                    <a:ext cx="531495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288FED0D" wp14:editId="3485E590">
          <wp:simplePos x="0" y="0"/>
          <wp:positionH relativeFrom="column">
            <wp:posOffset>5295900</wp:posOffset>
          </wp:positionH>
          <wp:positionV relativeFrom="paragraph">
            <wp:posOffset>-79632</wp:posOffset>
          </wp:positionV>
          <wp:extent cx="738012" cy="40826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12" cy="408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4355" w14:textId="77777777" w:rsidR="00BA089F" w:rsidRDefault="00BA089F">
      <w:pPr>
        <w:spacing w:line="240" w:lineRule="auto"/>
      </w:pPr>
      <w:r>
        <w:separator/>
      </w:r>
    </w:p>
  </w:footnote>
  <w:footnote w:type="continuationSeparator" w:id="0">
    <w:p w14:paraId="1F80AE50" w14:textId="77777777" w:rsidR="00BA089F" w:rsidRDefault="00BA08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6A5E" w14:textId="77777777" w:rsidR="00373DD1" w:rsidRDefault="00000000">
    <w:r>
      <w:rPr>
        <w:rFonts w:ascii="Century Gothic" w:eastAsia="Century Gothic" w:hAnsi="Century Gothic" w:cs="Century Gothic"/>
        <w:noProof/>
        <w:color w:val="374151"/>
      </w:rPr>
      <w:drawing>
        <wp:inline distT="114300" distB="114300" distL="114300" distR="114300" wp14:anchorId="0E6F7C11" wp14:editId="65F74B5A">
          <wp:extent cx="5943600" cy="2667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2CB"/>
    <w:multiLevelType w:val="multilevel"/>
    <w:tmpl w:val="62A4A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DF4F5E"/>
    <w:multiLevelType w:val="multilevel"/>
    <w:tmpl w:val="32566288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0309596">
    <w:abstractNumId w:val="1"/>
  </w:num>
  <w:num w:numId="2" w16cid:durableId="66612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1"/>
    <w:rsid w:val="00373DD1"/>
    <w:rsid w:val="004C39E4"/>
    <w:rsid w:val="00BA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1AF1"/>
  <w15:docId w15:val="{A927A913-31C6-45C5-A0BD-18F91C8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octe.ca/customer-service?usp=sharing" TargetMode="External"/><Relationship Id="rId13" Type="http://schemas.openxmlformats.org/officeDocument/2006/relationships/hyperlink" Target="https://drive.google.com/file/d/1EUv9sjSZn9Ae385C1Jo5pXd5exZHBdRd/view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YAShxkSGRD8Oy-ea74tMvHYI0zzyoX6u/view?usp=drive_li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n3iQsNZ_4qhOvoMcV1SJL2zg4wH2zrIi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hn9BuV9PrFaPzAma5hNPvnT9dC3R1918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Bm2kDemA_0GfmdJg9NTVNvnsf9fRQD52yhc0bVwGKxA/copy?usp=sharin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auaYYUhrcMet9X1sLSD/WlZGg==">CgMxLjAyDmguZXUwd2d4NzZyc2llMghoLmdqZGd4czIJaC4zMGowemxsOAByITFIaEdJc2xmelRaMjF4djJuVzdaVDNKRDNyYVJSaU02Xw==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2023-08-30T21:47:00Z</dcterms:created>
  <dcterms:modified xsi:type="dcterms:W3CDTF">2023-08-30T21:47:00Z</dcterms:modified>
</cp:coreProperties>
</file>