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0F8A" w14:textId="77777777" w:rsidR="001B660A" w:rsidRDefault="00000000">
      <w:pPr>
        <w:rPr>
          <w:rFonts w:ascii="Google Sans" w:eastAsia="Google Sans" w:hAnsi="Google Sans" w:cs="Google Sans"/>
          <w:b/>
          <w:sz w:val="28"/>
          <w:szCs w:val="28"/>
        </w:rPr>
      </w:pPr>
      <w:r>
        <w:rPr>
          <w:rFonts w:ascii="Google Sans" w:eastAsia="Google Sans" w:hAnsi="Google Sans" w:cs="Google Sans"/>
          <w:shd w:val="clear" w:color="auto" w:fill="EAD1DC"/>
        </w:rPr>
        <w:t xml:space="preserve"> </w:t>
      </w:r>
      <w:r>
        <w:rPr>
          <w:rFonts w:ascii="Google Sans" w:eastAsia="Google Sans" w:hAnsi="Google Sans" w:cs="Google Sans"/>
          <w:b/>
        </w:rPr>
        <w:t xml:space="preserve">    </w:t>
      </w:r>
      <w:r>
        <w:rPr>
          <w:rFonts w:ascii="Google Sans" w:eastAsia="Google Sans" w:hAnsi="Google Sans" w:cs="Google Sans"/>
          <w:b/>
          <w:sz w:val="28"/>
          <w:szCs w:val="28"/>
        </w:rPr>
        <w:t xml:space="preserve">           </w:t>
      </w:r>
      <w:r>
        <w:rPr>
          <w:noProof/>
        </w:rPr>
        <w:drawing>
          <wp:anchor distT="114300" distB="114300" distL="114300" distR="114300" simplePos="0" relativeHeight="251658240" behindDoc="1" locked="0" layoutInCell="1" hidden="0" allowOverlap="1" wp14:anchorId="72423207" wp14:editId="70861925">
            <wp:simplePos x="0" y="0"/>
            <wp:positionH relativeFrom="column">
              <wp:posOffset>114300</wp:posOffset>
            </wp:positionH>
            <wp:positionV relativeFrom="paragraph">
              <wp:posOffset>114300</wp:posOffset>
            </wp:positionV>
            <wp:extent cx="6636113" cy="9138106"/>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alphaModFix amt="96000"/>
                    </a:blip>
                    <a:srcRect/>
                    <a:stretch>
                      <a:fillRect/>
                    </a:stretch>
                  </pic:blipFill>
                  <pic:spPr>
                    <a:xfrm>
                      <a:off x="0" y="0"/>
                      <a:ext cx="6636113" cy="9138106"/>
                    </a:xfrm>
                    <a:prstGeom prst="rect">
                      <a:avLst/>
                    </a:prstGeom>
                    <a:ln/>
                  </pic:spPr>
                </pic:pic>
              </a:graphicData>
            </a:graphic>
          </wp:anchor>
        </w:drawing>
      </w:r>
    </w:p>
    <w:p w14:paraId="049EF608" w14:textId="77777777" w:rsidR="001B660A" w:rsidRDefault="001B660A">
      <w:pPr>
        <w:ind w:left="1440"/>
        <w:jc w:val="left"/>
        <w:rPr>
          <w:rFonts w:ascii="Google Sans" w:eastAsia="Google Sans" w:hAnsi="Google Sans" w:cs="Google Sans"/>
          <w:b/>
        </w:rPr>
      </w:pPr>
    </w:p>
    <w:p w14:paraId="61513CAA" w14:textId="77777777" w:rsidR="001B660A" w:rsidRDefault="001B660A">
      <w:pPr>
        <w:ind w:left="1440"/>
        <w:jc w:val="left"/>
        <w:rPr>
          <w:rFonts w:ascii="Google Sans" w:eastAsia="Google Sans" w:hAnsi="Google Sans" w:cs="Google Sans"/>
          <w:b/>
        </w:rPr>
      </w:pPr>
    </w:p>
    <w:p w14:paraId="04912299" w14:textId="77777777" w:rsidR="001B660A" w:rsidRDefault="001B660A">
      <w:pPr>
        <w:ind w:left="1440"/>
        <w:jc w:val="left"/>
        <w:rPr>
          <w:rFonts w:ascii="Google Sans" w:eastAsia="Google Sans" w:hAnsi="Google Sans" w:cs="Google Sans"/>
          <w:b/>
        </w:rPr>
      </w:pPr>
    </w:p>
    <w:p w14:paraId="4EE8FD15" w14:textId="77777777" w:rsidR="001B660A" w:rsidRDefault="001B660A">
      <w:pPr>
        <w:ind w:left="1440"/>
        <w:jc w:val="left"/>
        <w:rPr>
          <w:rFonts w:ascii="Google Sans" w:eastAsia="Google Sans" w:hAnsi="Google Sans" w:cs="Google Sans"/>
          <w:b/>
        </w:rPr>
      </w:pPr>
    </w:p>
    <w:p w14:paraId="5B41DCA1" w14:textId="77777777" w:rsidR="001B660A" w:rsidRDefault="001B660A">
      <w:pPr>
        <w:ind w:left="1440"/>
        <w:jc w:val="left"/>
        <w:rPr>
          <w:rFonts w:ascii="Google Sans" w:eastAsia="Google Sans" w:hAnsi="Google Sans" w:cs="Google Sans"/>
          <w:b/>
        </w:rPr>
      </w:pPr>
    </w:p>
    <w:p w14:paraId="08B9E9B4" w14:textId="77777777" w:rsidR="001B660A" w:rsidRDefault="001B660A">
      <w:pPr>
        <w:ind w:left="1440"/>
        <w:jc w:val="left"/>
        <w:rPr>
          <w:rFonts w:ascii="Google Sans" w:eastAsia="Google Sans" w:hAnsi="Google Sans" w:cs="Google Sans"/>
          <w:b/>
        </w:rPr>
      </w:pPr>
    </w:p>
    <w:p w14:paraId="5F47505E" w14:textId="77777777" w:rsidR="001B660A" w:rsidRDefault="001B660A">
      <w:pPr>
        <w:ind w:left="1440"/>
        <w:jc w:val="left"/>
        <w:rPr>
          <w:rFonts w:ascii="Google Sans" w:eastAsia="Google Sans" w:hAnsi="Google Sans" w:cs="Google Sans"/>
          <w:b/>
        </w:rPr>
      </w:pPr>
    </w:p>
    <w:p w14:paraId="4DE305E8" w14:textId="77777777" w:rsidR="001B660A" w:rsidRDefault="001B660A">
      <w:pPr>
        <w:ind w:left="1440"/>
        <w:jc w:val="left"/>
        <w:rPr>
          <w:rFonts w:ascii="Google Sans" w:eastAsia="Google Sans" w:hAnsi="Google Sans" w:cs="Google Sans"/>
          <w:b/>
        </w:rPr>
      </w:pPr>
    </w:p>
    <w:p w14:paraId="1966745E" w14:textId="77777777" w:rsidR="001B660A" w:rsidRDefault="00000000">
      <w:pPr>
        <w:ind w:left="1440"/>
        <w:jc w:val="left"/>
        <w:rPr>
          <w:rFonts w:ascii="Google Sans" w:eastAsia="Google Sans" w:hAnsi="Google Sans" w:cs="Google Sans"/>
          <w:b/>
        </w:rPr>
        <w:sectPr w:rsidR="001B660A">
          <w:pgSz w:w="12240" w:h="15840"/>
          <w:pgMar w:top="566" w:right="566" w:bottom="566" w:left="566" w:header="720" w:footer="720" w:gutter="0"/>
          <w:pgNumType w:start="1"/>
          <w:cols w:space="720"/>
        </w:sectPr>
      </w:pPr>
      <w:r>
        <w:rPr>
          <w:rFonts w:ascii="Google Sans" w:eastAsia="Google Sans" w:hAnsi="Google Sans" w:cs="Google Sans"/>
          <w:b/>
        </w:rPr>
        <w:t xml:space="preserve">Formation pour lutter contre l'oppression et devenir des allié(e)s  </w:t>
      </w:r>
    </w:p>
    <w:p w14:paraId="0A8B00E2" w14:textId="77777777" w:rsidR="001B660A" w:rsidRDefault="00000000">
      <w:pPr>
        <w:rPr>
          <w:rFonts w:ascii="Google Sans" w:eastAsia="Google Sans" w:hAnsi="Google Sans" w:cs="Google Sans"/>
          <w:color w:val="1932FF"/>
          <w:sz w:val="38"/>
          <w:szCs w:val="38"/>
        </w:rPr>
      </w:pPr>
      <w:r>
        <w:rPr>
          <w:rFonts w:ascii="Google Sans" w:eastAsia="Google Sans" w:hAnsi="Google Sans" w:cs="Google Sans"/>
          <w:color w:val="1932FF"/>
          <w:sz w:val="38"/>
          <w:szCs w:val="38"/>
        </w:rPr>
        <w:lastRenderedPageBreak/>
        <w:t>Table des matières</w:t>
      </w:r>
      <w:r>
        <w:rPr>
          <w:noProof/>
        </w:rPr>
        <mc:AlternateContent>
          <mc:Choice Requires="wpg">
            <w:drawing>
              <wp:anchor distT="0" distB="0" distL="114300" distR="114300" simplePos="0" relativeHeight="251659264" behindDoc="0" locked="0" layoutInCell="1" hidden="0" allowOverlap="1" wp14:anchorId="637FA224" wp14:editId="327C291A">
                <wp:simplePos x="0" y="0"/>
                <wp:positionH relativeFrom="column">
                  <wp:posOffset>-76199</wp:posOffset>
                </wp:positionH>
                <wp:positionV relativeFrom="paragraph">
                  <wp:posOffset>292100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1932F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292100</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sdt>
      <w:sdtPr>
        <w:id w:val="-1406997339"/>
        <w:docPartObj>
          <w:docPartGallery w:val="Table of Contents"/>
          <w:docPartUnique/>
        </w:docPartObj>
      </w:sdtPr>
      <w:sdtContent>
        <w:p w14:paraId="11ADA390" w14:textId="77777777" w:rsidR="001B660A" w:rsidRDefault="00000000">
          <w:pPr>
            <w:widowControl w:val="0"/>
            <w:tabs>
              <w:tab w:val="right" w:leader="dot" w:pos="12000"/>
            </w:tabs>
            <w:spacing w:before="60" w:after="0"/>
            <w:jc w:val="left"/>
            <w:rPr>
              <w:b/>
              <w:color w:val="000000"/>
              <w:sz w:val="22"/>
              <w:szCs w:val="22"/>
            </w:rPr>
          </w:pPr>
          <w:r>
            <w:fldChar w:fldCharType="begin"/>
          </w:r>
          <w:r>
            <w:instrText xml:space="preserve"> TOC \h \u \z \t "Heading 1,1,Heading 2,2,"</w:instrText>
          </w:r>
          <w:r>
            <w:fldChar w:fldCharType="separate"/>
          </w:r>
          <w:hyperlink w:anchor="_1fob9te">
            <w:r>
              <w:rPr>
                <w:rFonts w:ascii="Google Sans" w:eastAsia="Google Sans" w:hAnsi="Google Sans" w:cs="Google Sans"/>
                <w:color w:val="000000"/>
                <w:sz w:val="22"/>
                <w:szCs w:val="22"/>
              </w:rPr>
              <w:t>Aperçu du projet</w:t>
            </w:r>
            <w:r>
              <w:rPr>
                <w:rFonts w:ascii="Google Sans" w:eastAsia="Google Sans" w:hAnsi="Google Sans" w:cs="Google Sans"/>
                <w:color w:val="000000"/>
                <w:sz w:val="22"/>
                <w:szCs w:val="22"/>
              </w:rPr>
              <w:tab/>
              <w:t>1</w:t>
            </w:r>
          </w:hyperlink>
        </w:p>
        <w:p w14:paraId="4D688D66" w14:textId="77777777" w:rsidR="001B660A" w:rsidRDefault="00000000">
          <w:pPr>
            <w:widowControl w:val="0"/>
            <w:tabs>
              <w:tab w:val="right" w:leader="dot" w:pos="12000"/>
            </w:tabs>
            <w:spacing w:before="60" w:after="0"/>
            <w:jc w:val="left"/>
            <w:rPr>
              <w:b/>
              <w:color w:val="000000"/>
              <w:sz w:val="22"/>
              <w:szCs w:val="22"/>
            </w:rPr>
          </w:pPr>
          <w:hyperlink w:anchor="_3znysh7">
            <w:r>
              <w:rPr>
                <w:rFonts w:ascii="Google Sans" w:eastAsia="Google Sans" w:hAnsi="Google Sans" w:cs="Google Sans"/>
                <w:color w:val="000000"/>
                <w:sz w:val="22"/>
                <w:szCs w:val="22"/>
              </w:rPr>
              <w:t>Connaissances antérieures</w:t>
            </w:r>
            <w:r>
              <w:rPr>
                <w:rFonts w:ascii="Google Sans" w:eastAsia="Google Sans" w:hAnsi="Google Sans" w:cs="Google Sans"/>
                <w:color w:val="000000"/>
                <w:sz w:val="22"/>
                <w:szCs w:val="22"/>
              </w:rPr>
              <w:tab/>
              <w:t>1</w:t>
            </w:r>
          </w:hyperlink>
        </w:p>
        <w:p w14:paraId="3F0563D6" w14:textId="77777777" w:rsidR="001B660A" w:rsidRDefault="00000000">
          <w:pPr>
            <w:widowControl w:val="0"/>
            <w:tabs>
              <w:tab w:val="right" w:leader="dot" w:pos="12000"/>
            </w:tabs>
            <w:spacing w:before="60" w:after="0"/>
            <w:jc w:val="left"/>
            <w:rPr>
              <w:b/>
              <w:color w:val="000000"/>
              <w:sz w:val="22"/>
              <w:szCs w:val="22"/>
            </w:rPr>
          </w:pPr>
          <w:hyperlink w:anchor="_17dp8vu">
            <w:r>
              <w:rPr>
                <w:rFonts w:ascii="Google Sans" w:eastAsia="Google Sans" w:hAnsi="Google Sans" w:cs="Google Sans"/>
                <w:color w:val="000000"/>
                <w:sz w:val="22"/>
                <w:szCs w:val="22"/>
              </w:rPr>
              <w:t>Notes de planification</w:t>
            </w:r>
            <w:r>
              <w:rPr>
                <w:rFonts w:ascii="Google Sans" w:eastAsia="Google Sans" w:hAnsi="Google Sans" w:cs="Google Sans"/>
                <w:color w:val="000000"/>
                <w:sz w:val="22"/>
                <w:szCs w:val="22"/>
              </w:rPr>
              <w:tab/>
              <w:t>2</w:t>
            </w:r>
          </w:hyperlink>
        </w:p>
        <w:p w14:paraId="4CD3E427" w14:textId="77777777" w:rsidR="001B660A" w:rsidRDefault="00000000">
          <w:pPr>
            <w:widowControl w:val="0"/>
            <w:tabs>
              <w:tab w:val="right" w:leader="dot" w:pos="12000"/>
            </w:tabs>
            <w:spacing w:before="60" w:after="0"/>
            <w:jc w:val="left"/>
            <w:rPr>
              <w:b/>
              <w:color w:val="000000"/>
              <w:sz w:val="22"/>
              <w:szCs w:val="22"/>
            </w:rPr>
          </w:pPr>
          <w:hyperlink w:anchor="_2bn6wsx">
            <w:r>
              <w:rPr>
                <w:rFonts w:ascii="Google Sans" w:eastAsia="Google Sans" w:hAnsi="Google Sans" w:cs="Google Sans"/>
                <w:color w:val="000000"/>
                <w:sz w:val="22"/>
                <w:szCs w:val="22"/>
              </w:rPr>
              <w:t>Préoccupations et attentes liées à la santé et la sécurité</w:t>
            </w:r>
            <w:r>
              <w:rPr>
                <w:rFonts w:ascii="Google Sans" w:eastAsia="Google Sans" w:hAnsi="Google Sans" w:cs="Google Sans"/>
                <w:color w:val="000000"/>
                <w:sz w:val="22"/>
                <w:szCs w:val="22"/>
              </w:rPr>
              <w:tab/>
              <w:t>2</w:t>
            </w:r>
          </w:hyperlink>
        </w:p>
        <w:p w14:paraId="77E49D15" w14:textId="77777777" w:rsidR="001B660A" w:rsidRDefault="00000000">
          <w:pPr>
            <w:widowControl w:val="0"/>
            <w:tabs>
              <w:tab w:val="right" w:leader="dot" w:pos="12000"/>
            </w:tabs>
            <w:spacing w:before="60" w:after="0"/>
            <w:jc w:val="left"/>
            <w:rPr>
              <w:b/>
              <w:color w:val="000000"/>
              <w:sz w:val="22"/>
              <w:szCs w:val="22"/>
            </w:rPr>
          </w:pPr>
          <w:hyperlink w:anchor="_3as4poj">
            <w:r>
              <w:rPr>
                <w:rFonts w:ascii="Google Sans" w:eastAsia="Google Sans" w:hAnsi="Google Sans" w:cs="Google Sans"/>
                <w:color w:val="000000"/>
                <w:sz w:val="22"/>
                <w:szCs w:val="22"/>
              </w:rPr>
              <w:t>Différenciation pédagogique</w:t>
            </w:r>
            <w:r>
              <w:rPr>
                <w:rFonts w:ascii="Google Sans" w:eastAsia="Google Sans" w:hAnsi="Google Sans" w:cs="Google Sans"/>
                <w:color w:val="000000"/>
                <w:sz w:val="22"/>
                <w:szCs w:val="22"/>
              </w:rPr>
              <w:tab/>
              <w:t>3</w:t>
            </w:r>
          </w:hyperlink>
          <w:r>
            <w:fldChar w:fldCharType="end"/>
          </w:r>
        </w:p>
      </w:sdtContent>
    </w:sdt>
    <w:p w14:paraId="186B2492" w14:textId="77777777" w:rsidR="001B660A" w:rsidRDefault="00000000">
      <w:pPr>
        <w:pStyle w:val="Heading1"/>
        <w:spacing w:after="0"/>
        <w:rPr>
          <w:rFonts w:ascii="Google Sans" w:eastAsia="Google Sans" w:hAnsi="Google Sans" w:cs="Google Sans"/>
        </w:rPr>
      </w:pPr>
      <w:bookmarkStart w:id="0" w:name="_1fob9te" w:colFirst="0" w:colLast="0"/>
      <w:bookmarkEnd w:id="0"/>
      <w:r>
        <w:rPr>
          <w:rFonts w:ascii="Google Sans" w:eastAsia="Google Sans" w:hAnsi="Google Sans" w:cs="Google Sans"/>
        </w:rPr>
        <w:t xml:space="preserve">Aperçu du projet </w:t>
      </w:r>
    </w:p>
    <w:p w14:paraId="6166A4EB" w14:textId="77777777" w:rsidR="001B660A" w:rsidRDefault="001B660A">
      <w:pPr>
        <w:spacing w:after="0"/>
      </w:pPr>
    </w:p>
    <w:p w14:paraId="39D1A7D5" w14:textId="77777777" w:rsidR="001B660A" w:rsidRDefault="00000000">
      <w:pPr>
        <w:rPr>
          <w:rFonts w:ascii="Google Sans" w:eastAsia="Google Sans" w:hAnsi="Google Sans" w:cs="Google Sans"/>
          <w:i/>
        </w:rPr>
      </w:pPr>
      <w:r>
        <w:rPr>
          <w:rFonts w:ascii="Google Sans" w:eastAsia="Google Sans" w:hAnsi="Google Sans" w:cs="Google Sans"/>
        </w:rPr>
        <w:t xml:space="preserve">«Pour acquérir des connaissances et développer des compétences relevant du domaine professionnel, reconnues dans le secteur de la Majeure haute spécialisation, l'élève doit obtenir un certain nombre de certifications ou suivre des formations obligatoires et facultatives» </w:t>
      </w:r>
      <w:r>
        <w:rPr>
          <w:rFonts w:ascii="Google Sans" w:eastAsia="Google Sans" w:hAnsi="Google Sans" w:cs="Google Sans"/>
          <w:i/>
        </w:rPr>
        <w:t>(</w:t>
      </w:r>
      <w:hyperlink r:id="rId9">
        <w:r>
          <w:rPr>
            <w:rFonts w:ascii="Google Sans" w:eastAsia="Google Sans" w:hAnsi="Google Sans" w:cs="Google Sans"/>
            <w:i/>
            <w:u w:val="single"/>
          </w:rPr>
          <w:t>ontario.ca/MHS</w:t>
        </w:r>
      </w:hyperlink>
      <w:r>
        <w:rPr>
          <w:rFonts w:ascii="Google Sans" w:eastAsia="Google Sans" w:hAnsi="Google Sans" w:cs="Google Sans"/>
          <w:i/>
        </w:rPr>
        <w:t>).</w:t>
      </w:r>
      <w:r>
        <w:rPr>
          <w:rFonts w:ascii="Google Sans" w:eastAsia="Google Sans" w:hAnsi="Google Sans" w:cs="Google Sans"/>
        </w:rPr>
        <w:t xml:space="preserve"> Cette ressource comprend les informations nécessaires pour la «formation pour lutter contre l'oppression et devenir des alliés», qui est une formation au choix pour toutes les MHS.</w:t>
      </w:r>
      <w:r>
        <w:rPr>
          <w:rFonts w:ascii="Google Sans" w:eastAsia="Google Sans" w:hAnsi="Google Sans" w:cs="Google Sans"/>
          <w:i/>
        </w:rPr>
        <w:t xml:space="preserve"> </w:t>
      </w:r>
    </w:p>
    <w:p w14:paraId="3B2075C3" w14:textId="77777777" w:rsidR="001B660A" w:rsidRDefault="00000000">
      <w:pPr>
        <w:rPr>
          <w:rFonts w:ascii="Google Sans" w:eastAsia="Google Sans" w:hAnsi="Google Sans" w:cs="Google Sans"/>
        </w:rPr>
      </w:pPr>
      <w:r>
        <w:t>Cette ressource a été créée dans le cadre du projet «Vers l’avenir : L’avancement de l’innovation dans le secteur de l'automobile et de la mobilité», un projet du Conseil d’éducation en technologie (</w:t>
      </w:r>
      <w:hyperlink r:id="rId10">
        <w:r>
          <w:rPr>
            <w:u w:val="single"/>
          </w:rPr>
          <w:t>COET</w:t>
        </w:r>
      </w:hyperlink>
      <w:r>
        <w:t>) en partenariat avec le Réseau ontarien d’innovation pour les véhicules (</w:t>
      </w:r>
      <w:hyperlink r:id="rId11">
        <w:r>
          <w:rPr>
            <w:u w:val="single"/>
          </w:rPr>
          <w:t>ROIV</w:t>
        </w:r>
      </w:hyperlink>
      <w:r>
        <w:t xml:space="preserve">). Pour cette raison, elle utilise les avancées technologiques dans le secteur de l’automobile et de la mobilité pour évaluer les répercussions sur la société. </w:t>
      </w:r>
    </w:p>
    <w:p w14:paraId="67529C72" w14:textId="77777777" w:rsidR="001B660A" w:rsidRDefault="00000000">
      <w:pPr>
        <w:rPr>
          <w:rFonts w:ascii="Google Sans" w:eastAsia="Google Sans" w:hAnsi="Google Sans" w:cs="Google Sans"/>
        </w:rPr>
      </w:pPr>
      <w:r>
        <w:rPr>
          <w:rFonts w:ascii="Google Sans" w:eastAsia="Google Sans" w:hAnsi="Google Sans" w:cs="Google Sans"/>
        </w:rPr>
        <w:t>L’élève analysera, par l’entremise de réflexions dans son cahier de notes. Il/elle comprendra l’importance d’être allié(e).</w:t>
      </w:r>
      <w:r>
        <w:rPr>
          <w:rFonts w:ascii="Google Sans" w:eastAsia="Google Sans" w:hAnsi="Google Sans" w:cs="Google Sans"/>
          <w:i/>
        </w:rPr>
        <w:t xml:space="preserve"> </w:t>
      </w:r>
      <w:r>
        <w:rPr>
          <w:rFonts w:ascii="Google Sans" w:eastAsia="Google Sans" w:hAnsi="Google Sans" w:cs="Google Sans"/>
        </w:rPr>
        <w:t>L’élève sera invité à faire une activité en lien avec sa MHS pour comprendre l’importance de l’égalité, l’équité et la justice dans ce secteur.  Il est recommandé de donner la formation en mode synchrone/présentiel pour permettre aux élèves de discuter entre eux/elles.</w:t>
      </w:r>
    </w:p>
    <w:p w14:paraId="67489CC0" w14:textId="77777777" w:rsidR="001B660A" w:rsidRDefault="00000000">
      <w:pPr>
        <w:rPr>
          <w:rFonts w:ascii="Google Sans" w:eastAsia="Google Sans" w:hAnsi="Google Sans" w:cs="Google Sans"/>
          <w:i/>
        </w:rPr>
      </w:pPr>
      <w:r>
        <w:rPr>
          <w:rFonts w:ascii="Google Sans" w:eastAsia="Google Sans" w:hAnsi="Google Sans" w:cs="Google Sans"/>
        </w:rPr>
        <w:t xml:space="preserve">Cette ressource est une traduction et une adaptation de la ressource COET </w:t>
      </w:r>
      <w:r>
        <w:rPr>
          <w:rFonts w:ascii="Google Sans" w:eastAsia="Google Sans" w:hAnsi="Google Sans" w:cs="Google Sans"/>
          <w:i/>
        </w:rPr>
        <w:t>«Allyship».</w:t>
      </w:r>
    </w:p>
    <w:p w14:paraId="67B25BB2" w14:textId="77777777" w:rsidR="001B660A" w:rsidRDefault="001B660A">
      <w:pPr>
        <w:rPr>
          <w:rFonts w:ascii="Google Sans" w:eastAsia="Google Sans" w:hAnsi="Google Sans" w:cs="Google Sans"/>
          <w:color w:val="FF0000"/>
        </w:rPr>
      </w:pPr>
    </w:p>
    <w:p w14:paraId="4074B5B9" w14:textId="77777777" w:rsidR="001B660A" w:rsidRDefault="00000000">
      <w:pPr>
        <w:pStyle w:val="Heading1"/>
        <w:spacing w:after="0"/>
        <w:rPr>
          <w:rFonts w:ascii="Google Sans" w:eastAsia="Google Sans" w:hAnsi="Google Sans" w:cs="Google Sans"/>
        </w:rPr>
      </w:pPr>
      <w:bookmarkStart w:id="1" w:name="_3znysh7" w:colFirst="0" w:colLast="0"/>
      <w:bookmarkEnd w:id="1"/>
      <w:r>
        <w:rPr>
          <w:rFonts w:ascii="Google Sans" w:eastAsia="Google Sans" w:hAnsi="Google Sans" w:cs="Google Sans"/>
        </w:rPr>
        <w:t xml:space="preserve">Connaissances antérieures </w:t>
      </w:r>
    </w:p>
    <w:p w14:paraId="586C4FED" w14:textId="77777777" w:rsidR="001B660A" w:rsidRDefault="001B660A">
      <w:pPr>
        <w:spacing w:after="0"/>
      </w:pPr>
    </w:p>
    <w:p w14:paraId="4E430925" w14:textId="77777777" w:rsidR="001B660A" w:rsidRDefault="00000000">
      <w:pPr>
        <w:rPr>
          <w:rFonts w:ascii="Google Sans" w:eastAsia="Google Sans" w:hAnsi="Google Sans" w:cs="Google Sans"/>
        </w:rPr>
      </w:pPr>
      <w:r>
        <w:rPr>
          <w:rFonts w:ascii="Google Sans" w:eastAsia="Google Sans" w:hAnsi="Google Sans" w:cs="Google Sans"/>
        </w:rPr>
        <w:t>Il n’y a pas de connaissances antérieures requises pour compléter les activités suggérées dans cette ressource. L’enseignant(e) peut utiliser la présentation et le cahier de l’élève tout en tenant pour acquis que ce sont de nouveaux concepts pour les élèves.</w:t>
      </w:r>
    </w:p>
    <w:p w14:paraId="7CC2A64E" w14:textId="77777777" w:rsidR="001B660A" w:rsidRDefault="00000000">
      <w:pPr>
        <w:rPr>
          <w:rFonts w:ascii="Google Sans" w:eastAsia="Google Sans" w:hAnsi="Google Sans" w:cs="Google Sans"/>
        </w:rPr>
      </w:pPr>
      <w:r>
        <w:rPr>
          <w:rFonts w:ascii="Google Sans" w:eastAsia="Google Sans" w:hAnsi="Google Sans" w:cs="Google Sans"/>
        </w:rPr>
        <w:t>On encourage les enseignant(e)s à évaluer les activités proposées par MHS (à la fin de la présentation) et d’ajuster au besoin pour combler les réalités de la région en lien avec cette MHS.</w:t>
      </w:r>
    </w:p>
    <w:p w14:paraId="527304AE" w14:textId="77777777" w:rsidR="001B660A" w:rsidRDefault="00000000">
      <w:pPr>
        <w:pStyle w:val="Heading1"/>
        <w:spacing w:after="0"/>
        <w:rPr>
          <w:rFonts w:ascii="Google Sans" w:eastAsia="Google Sans" w:hAnsi="Google Sans" w:cs="Google Sans"/>
        </w:rPr>
      </w:pPr>
      <w:bookmarkStart w:id="2" w:name="_17dp8vu" w:colFirst="0" w:colLast="0"/>
      <w:bookmarkEnd w:id="2"/>
      <w:r>
        <w:rPr>
          <w:rFonts w:ascii="Google Sans" w:eastAsia="Google Sans" w:hAnsi="Google Sans" w:cs="Google Sans"/>
        </w:rPr>
        <w:lastRenderedPageBreak/>
        <w:t>Notes de planification</w:t>
      </w:r>
    </w:p>
    <w:p w14:paraId="21877B47" w14:textId="77777777" w:rsidR="001B660A" w:rsidRDefault="00000000">
      <w:pPr>
        <w:pStyle w:val="Heading3"/>
        <w:rPr>
          <w:rFonts w:ascii="Google Sans" w:eastAsia="Google Sans" w:hAnsi="Google Sans" w:cs="Google Sans"/>
        </w:rPr>
      </w:pPr>
      <w:bookmarkStart w:id="3" w:name="_3rdcrjn" w:colFirst="0" w:colLast="0"/>
      <w:bookmarkEnd w:id="3"/>
      <w:r>
        <w:rPr>
          <w:rFonts w:ascii="Google Sans" w:eastAsia="Google Sans" w:hAnsi="Google Sans" w:cs="Google Sans"/>
        </w:rPr>
        <w:t>Fichiers</w:t>
      </w:r>
    </w:p>
    <w:p w14:paraId="65911421" w14:textId="77777777" w:rsidR="001B660A" w:rsidRDefault="001B660A">
      <w:pPr>
        <w:spacing w:after="0"/>
        <w:rPr>
          <w:rFonts w:ascii="Google Sans" w:eastAsia="Google Sans" w:hAnsi="Google Sans" w:cs="Google Sans"/>
        </w:rPr>
      </w:pPr>
    </w:p>
    <w:p w14:paraId="09BE1ED1" w14:textId="77777777" w:rsidR="001B660A" w:rsidRDefault="00000000">
      <w:pPr>
        <w:widowControl w:val="0"/>
        <w:spacing w:after="0"/>
        <w:jc w:val="left"/>
        <w:rPr>
          <w:rFonts w:ascii="Google Sans" w:eastAsia="Google Sans" w:hAnsi="Google Sans" w:cs="Google Sans"/>
        </w:rPr>
      </w:pPr>
      <w:r>
        <w:rPr>
          <w:rFonts w:ascii="Google Sans" w:eastAsia="Google Sans" w:hAnsi="Google Sans" w:cs="Google Sans"/>
        </w:rPr>
        <w:t>Liens :</w:t>
      </w:r>
    </w:p>
    <w:p w14:paraId="5DB0EFD2" w14:textId="77777777" w:rsidR="001B660A"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Présentation : </w:t>
      </w:r>
      <w:hyperlink r:id="rId12">
        <w:r>
          <w:rPr>
            <w:color w:val="0000EE"/>
            <w:u w:val="single"/>
          </w:rPr>
          <w:t>Formation pour lutter contre l'oppression et devenir des alliés</w:t>
        </w:r>
      </w:hyperlink>
    </w:p>
    <w:p w14:paraId="67ED3875" w14:textId="77777777" w:rsidR="001B660A"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Cahier de notes : </w:t>
      </w:r>
      <w:hyperlink r:id="rId13">
        <w:r>
          <w:rPr>
            <w:color w:val="0000EE"/>
            <w:u w:val="single"/>
          </w:rPr>
          <w:t>Cahier de notes - Formation pour lutter contre l'oppression et devenir des alliés</w:t>
        </w:r>
      </w:hyperlink>
    </w:p>
    <w:p w14:paraId="129BD34C" w14:textId="77777777" w:rsidR="001B660A" w:rsidRDefault="00000000">
      <w:pPr>
        <w:widowControl w:val="0"/>
        <w:spacing w:after="0"/>
        <w:jc w:val="left"/>
      </w:pPr>
      <w:r>
        <w:rPr>
          <w:rFonts w:ascii="Google Sans" w:eastAsia="Google Sans" w:hAnsi="Google Sans" w:cs="Google Sans"/>
        </w:rPr>
        <w:t xml:space="preserve">Corrigé : </w:t>
      </w:r>
      <w:hyperlink r:id="rId14">
        <w:r>
          <w:rPr>
            <w:color w:val="0000EE"/>
            <w:u w:val="single"/>
          </w:rPr>
          <w:t>Corrigé - Cahier de notes - Formation pour lutter contre l'oppression et devenir des alliés</w:t>
        </w:r>
      </w:hyperlink>
      <w:r>
        <w:rPr>
          <w:rFonts w:ascii="Google Sans" w:eastAsia="Google Sans" w:hAnsi="Google Sans" w:cs="Google Sans"/>
        </w:rPr>
        <w:t xml:space="preserve">Certificat d’attestation : </w:t>
      </w:r>
      <w:hyperlink r:id="rId15">
        <w:r>
          <w:rPr>
            <w:color w:val="0000EE"/>
            <w:u w:val="single"/>
          </w:rPr>
          <w:t>Certificat - Formation pour lutter contre l'oppression et devenir des alliés</w:t>
        </w:r>
      </w:hyperlink>
    </w:p>
    <w:p w14:paraId="7F05C892" w14:textId="77777777" w:rsidR="001B660A" w:rsidRDefault="00000000">
      <w:pPr>
        <w:pStyle w:val="Heading3"/>
        <w:rPr>
          <w:rFonts w:ascii="Google Sans" w:eastAsia="Google Sans" w:hAnsi="Google Sans" w:cs="Google Sans"/>
        </w:rPr>
      </w:pPr>
      <w:bookmarkStart w:id="4" w:name="_lnxbz9" w:colFirst="0" w:colLast="0"/>
      <w:bookmarkEnd w:id="4"/>
      <w:r>
        <w:rPr>
          <w:rFonts w:ascii="Google Sans" w:eastAsia="Google Sans" w:hAnsi="Google Sans" w:cs="Google Sans"/>
        </w:rPr>
        <w:t xml:space="preserve">Outils/équipement </w:t>
      </w:r>
    </w:p>
    <w:p w14:paraId="1BEC9190" w14:textId="77777777" w:rsidR="001B660A" w:rsidRDefault="00000000">
      <w:pPr>
        <w:numPr>
          <w:ilvl w:val="0"/>
          <w:numId w:val="1"/>
        </w:numPr>
        <w:pBdr>
          <w:top w:val="nil"/>
          <w:left w:val="nil"/>
          <w:bottom w:val="nil"/>
          <w:right w:val="nil"/>
          <w:between w:val="nil"/>
        </w:pBdr>
        <w:spacing w:after="0"/>
        <w:rPr>
          <w:rFonts w:ascii="Google Sans" w:eastAsia="Google Sans" w:hAnsi="Google Sans" w:cs="Google Sans"/>
          <w:b/>
          <w:color w:val="000000"/>
        </w:rPr>
      </w:pPr>
      <w:r>
        <w:rPr>
          <w:rFonts w:ascii="Google Sans" w:eastAsia="Google Sans" w:hAnsi="Google Sans" w:cs="Google Sans"/>
        </w:rPr>
        <w:t>portable/ordinateur, chromebook ou tablette</w:t>
      </w:r>
    </w:p>
    <w:p w14:paraId="5D98F2FD" w14:textId="77777777" w:rsidR="001B660A" w:rsidRDefault="00000000">
      <w:pPr>
        <w:numPr>
          <w:ilvl w:val="0"/>
          <w:numId w:val="1"/>
        </w:numPr>
        <w:pBdr>
          <w:top w:val="nil"/>
          <w:left w:val="nil"/>
          <w:bottom w:val="nil"/>
          <w:right w:val="nil"/>
          <w:between w:val="nil"/>
        </w:pBdr>
        <w:spacing w:after="0"/>
        <w:rPr>
          <w:rFonts w:ascii="Google Sans" w:eastAsia="Google Sans" w:hAnsi="Google Sans" w:cs="Google Sans"/>
          <w:b/>
          <w:color w:val="000000"/>
        </w:rPr>
      </w:pPr>
      <w:r>
        <w:rPr>
          <w:rFonts w:ascii="Google Sans" w:eastAsia="Google Sans" w:hAnsi="Google Sans" w:cs="Google Sans"/>
        </w:rPr>
        <w:t>projecteur ou tableau intelligent</w:t>
      </w:r>
    </w:p>
    <w:p w14:paraId="4FAEBE28" w14:textId="77777777" w:rsidR="001B660A" w:rsidRDefault="00000000">
      <w:pPr>
        <w:pStyle w:val="Heading3"/>
        <w:rPr>
          <w:rFonts w:ascii="Google Sans" w:eastAsia="Google Sans" w:hAnsi="Google Sans" w:cs="Google Sans"/>
        </w:rPr>
      </w:pPr>
      <w:bookmarkStart w:id="5" w:name="_35nkun2" w:colFirst="0" w:colLast="0"/>
      <w:bookmarkEnd w:id="5"/>
      <w:r>
        <w:rPr>
          <w:rFonts w:ascii="Google Sans" w:eastAsia="Google Sans" w:hAnsi="Google Sans" w:cs="Google Sans"/>
        </w:rPr>
        <w:t>Logiciel(s)</w:t>
      </w:r>
    </w:p>
    <w:p w14:paraId="7DC1F419" w14:textId="77777777" w:rsidR="001B660A" w:rsidRDefault="00000000">
      <w:pPr>
        <w:numPr>
          <w:ilvl w:val="0"/>
          <w:numId w:val="2"/>
        </w:numPr>
        <w:pBdr>
          <w:top w:val="nil"/>
          <w:left w:val="nil"/>
          <w:bottom w:val="nil"/>
          <w:right w:val="nil"/>
          <w:between w:val="nil"/>
        </w:pBdr>
        <w:spacing w:after="0"/>
        <w:rPr>
          <w:rFonts w:ascii="Google Sans" w:eastAsia="Google Sans" w:hAnsi="Google Sans" w:cs="Google Sans"/>
        </w:rPr>
      </w:pPr>
      <w:r>
        <w:rPr>
          <w:rFonts w:ascii="Google Sans" w:eastAsia="Google Sans" w:hAnsi="Google Sans" w:cs="Google Sans"/>
        </w:rPr>
        <w:t>portfolio (version papier ou électronique, tel myBlueprint)</w:t>
      </w:r>
    </w:p>
    <w:p w14:paraId="14BE4EAF" w14:textId="77777777" w:rsidR="001B660A" w:rsidRDefault="00000000">
      <w:pPr>
        <w:pStyle w:val="Heading3"/>
        <w:rPr>
          <w:rFonts w:ascii="Google Sans" w:eastAsia="Google Sans" w:hAnsi="Google Sans" w:cs="Google Sans"/>
        </w:rPr>
      </w:pPr>
      <w:bookmarkStart w:id="6" w:name="_1ksv4uv" w:colFirst="0" w:colLast="0"/>
      <w:bookmarkEnd w:id="6"/>
      <w:r>
        <w:rPr>
          <w:rFonts w:ascii="Google Sans" w:eastAsia="Google Sans" w:hAnsi="Google Sans" w:cs="Google Sans"/>
        </w:rPr>
        <w:t xml:space="preserve">Matériels </w:t>
      </w:r>
    </w:p>
    <w:p w14:paraId="63DD3CC1" w14:textId="77777777" w:rsidR="001B660A" w:rsidRDefault="00000000">
      <w:pPr>
        <w:numPr>
          <w:ilvl w:val="0"/>
          <w:numId w:val="1"/>
        </w:numPr>
        <w:pBdr>
          <w:top w:val="nil"/>
          <w:left w:val="nil"/>
          <w:bottom w:val="nil"/>
          <w:right w:val="nil"/>
          <w:between w:val="nil"/>
        </w:pBdr>
        <w:rPr>
          <w:rFonts w:ascii="Google Sans" w:eastAsia="Google Sans" w:hAnsi="Google Sans" w:cs="Google Sans"/>
        </w:rPr>
      </w:pPr>
      <w:r>
        <w:rPr>
          <w:rFonts w:ascii="Google Sans" w:eastAsia="Google Sans" w:hAnsi="Google Sans" w:cs="Google Sans"/>
        </w:rPr>
        <w:t>papier pour imprimer les cahiers de notes (s’ils ne sont pas publiés dans un logiciel de gestion d’apprentissage)</w:t>
      </w:r>
    </w:p>
    <w:p w14:paraId="3970A642" w14:textId="77777777" w:rsidR="001B660A" w:rsidRDefault="00000000">
      <w:pPr>
        <w:pStyle w:val="Heading3"/>
        <w:rPr>
          <w:rFonts w:ascii="Google Sans" w:eastAsia="Google Sans" w:hAnsi="Google Sans" w:cs="Google Sans"/>
          <w:color w:val="0000FF"/>
        </w:rPr>
      </w:pPr>
      <w:bookmarkStart w:id="7" w:name="_44sinio" w:colFirst="0" w:colLast="0"/>
      <w:bookmarkEnd w:id="7"/>
      <w:r>
        <w:rPr>
          <w:rFonts w:ascii="Google Sans" w:eastAsia="Google Sans" w:hAnsi="Google Sans" w:cs="Google Sans"/>
          <w:color w:val="0000FF"/>
        </w:rPr>
        <w:t>Vidéos</w:t>
      </w:r>
    </w:p>
    <w:p w14:paraId="31A70C44" w14:textId="77777777" w:rsidR="001B660A" w:rsidRDefault="00000000">
      <w:pPr>
        <w:widowControl w:val="0"/>
        <w:numPr>
          <w:ilvl w:val="0"/>
          <w:numId w:val="2"/>
        </w:numPr>
        <w:spacing w:after="0"/>
        <w:jc w:val="left"/>
        <w:rPr>
          <w:rFonts w:ascii="Google Sans" w:eastAsia="Google Sans" w:hAnsi="Google Sans" w:cs="Google Sans"/>
          <w:color w:val="374151"/>
        </w:rPr>
      </w:pPr>
      <w:hyperlink r:id="rId16">
        <w:r>
          <w:rPr>
            <w:color w:val="0000EE"/>
            <w:u w:val="single"/>
          </w:rPr>
          <w:t>L’intersectionnalité</w:t>
        </w:r>
      </w:hyperlink>
    </w:p>
    <w:p w14:paraId="708E61D2" w14:textId="77777777" w:rsidR="001B660A" w:rsidRDefault="00000000">
      <w:pPr>
        <w:pStyle w:val="Heading1"/>
        <w:spacing w:after="0"/>
        <w:rPr>
          <w:rFonts w:ascii="Google Sans" w:eastAsia="Google Sans" w:hAnsi="Google Sans" w:cs="Google Sans"/>
        </w:rPr>
      </w:pPr>
      <w:bookmarkStart w:id="8" w:name="_2bn6wsx" w:colFirst="0" w:colLast="0"/>
      <w:bookmarkEnd w:id="8"/>
      <w:r>
        <w:rPr>
          <w:rFonts w:ascii="Google Sans" w:eastAsia="Google Sans" w:hAnsi="Google Sans" w:cs="Google Sans"/>
        </w:rPr>
        <w:t>Préoccupations et attentes liées à la santé et la sécurité</w:t>
      </w:r>
    </w:p>
    <w:p w14:paraId="214B9C51" w14:textId="77777777" w:rsidR="001B660A" w:rsidRDefault="001B660A">
      <w:pPr>
        <w:pStyle w:val="Heading1"/>
        <w:spacing w:before="0" w:after="0"/>
        <w:rPr>
          <w:rFonts w:ascii="Google Sans" w:eastAsia="Google Sans" w:hAnsi="Google Sans" w:cs="Google Sans"/>
          <w:sz w:val="24"/>
          <w:szCs w:val="24"/>
        </w:rPr>
      </w:pPr>
      <w:bookmarkStart w:id="9" w:name="_70whdx5xwyn4" w:colFirst="0" w:colLast="0"/>
      <w:bookmarkEnd w:id="9"/>
    </w:p>
    <w:p w14:paraId="6CB89FF9" w14:textId="77777777" w:rsidR="001B660A" w:rsidRDefault="00000000">
      <w:pPr>
        <w:spacing w:after="0"/>
        <w:rPr>
          <w:rFonts w:ascii="Google Sans" w:eastAsia="Google Sans" w:hAnsi="Google Sans" w:cs="Google Sans"/>
        </w:rPr>
      </w:pPr>
      <w:r>
        <w:rPr>
          <w:rFonts w:ascii="Google Sans" w:eastAsia="Google Sans" w:hAnsi="Google Sans" w:cs="Google Sans"/>
        </w:rPr>
        <w:t xml:space="preserve">Il peut être difficile pour les élèves de se concentrer sur les émotions vécues lors des discussions en lien avec le contenu de cette formation. </w:t>
      </w:r>
    </w:p>
    <w:p w14:paraId="01DDF76A" w14:textId="77777777" w:rsidR="001B660A" w:rsidRDefault="001B660A">
      <w:pPr>
        <w:spacing w:after="0"/>
        <w:rPr>
          <w:rFonts w:ascii="Google Sans" w:eastAsia="Google Sans" w:hAnsi="Google Sans" w:cs="Google Sans"/>
        </w:rPr>
      </w:pPr>
    </w:p>
    <w:p w14:paraId="3B695CF9" w14:textId="77777777" w:rsidR="001B660A" w:rsidRDefault="00000000">
      <w:pPr>
        <w:spacing w:after="0"/>
        <w:rPr>
          <w:rFonts w:ascii="Google Sans" w:eastAsia="Google Sans" w:hAnsi="Google Sans" w:cs="Google Sans"/>
        </w:rPr>
      </w:pPr>
      <w:r>
        <w:rPr>
          <w:rFonts w:ascii="Google Sans" w:eastAsia="Google Sans" w:hAnsi="Google Sans" w:cs="Google Sans"/>
        </w:rPr>
        <w:t xml:space="preserve">Soyez prêt(e) à orienter les élèves vers des ressources supplémentaires, si nécessaire. Pour plus d’informations, veuillez consulter la ressource </w:t>
      </w:r>
      <w:hyperlink r:id="rId17">
        <w:r>
          <w:rPr>
            <w:rFonts w:ascii="Google Sans" w:eastAsia="Google Sans" w:hAnsi="Google Sans" w:cs="Google Sans"/>
            <w:color w:val="1155CC"/>
            <w:u w:val="single"/>
          </w:rPr>
          <w:t>Santé mentale en milieu scolaire Ontario</w:t>
        </w:r>
      </w:hyperlink>
      <w:r>
        <w:rPr>
          <w:rFonts w:ascii="Google Sans" w:eastAsia="Google Sans" w:hAnsi="Google Sans" w:cs="Google Sans"/>
        </w:rPr>
        <w:t xml:space="preserve"> et prenez le temps de réfléchir au cercle de soutien et aux voies d’accès aux soins disponibles au sein de votre école et de votre conseil scolaire. Sachez quoi faire et avec qui communiquer si un élève semble rencontrer des problèmes de santé mentale. Les approches pédagogiques, y compris les informationes en matière de santé mentale, doivent être transmises par des conversations respectueuses sur les réalités vécues par les élèves, les inégalités, les préjugés, la discrimination et le harcèlement.</w:t>
      </w:r>
    </w:p>
    <w:p w14:paraId="54209087" w14:textId="77777777" w:rsidR="001B660A" w:rsidRDefault="001B660A">
      <w:pPr>
        <w:spacing w:after="0"/>
        <w:rPr>
          <w:rFonts w:ascii="Google Sans" w:eastAsia="Google Sans" w:hAnsi="Google Sans" w:cs="Google Sans"/>
        </w:rPr>
      </w:pPr>
    </w:p>
    <w:p w14:paraId="0055743F" w14:textId="77777777" w:rsidR="001B660A" w:rsidRDefault="00000000">
      <w:pPr>
        <w:spacing w:after="0"/>
        <w:rPr>
          <w:rFonts w:ascii="Google Sans" w:eastAsia="Google Sans" w:hAnsi="Google Sans" w:cs="Google Sans"/>
        </w:rPr>
      </w:pPr>
      <w:r>
        <w:rPr>
          <w:rFonts w:ascii="Google Sans" w:eastAsia="Google Sans" w:hAnsi="Google Sans" w:cs="Google Sans"/>
        </w:rPr>
        <w:lastRenderedPageBreak/>
        <w:t xml:space="preserve">Veuillez faire le rappel auprès des élèves que les discussions et partages sont de nature confidentielle, et que le respect des confidences personnelles fait également partie de cette formation. </w:t>
      </w:r>
    </w:p>
    <w:p w14:paraId="69594942" w14:textId="77777777" w:rsidR="001B660A" w:rsidRDefault="001B660A">
      <w:pPr>
        <w:spacing w:after="0"/>
        <w:rPr>
          <w:rFonts w:ascii="Google Sans" w:eastAsia="Google Sans" w:hAnsi="Google Sans" w:cs="Google Sans"/>
        </w:rPr>
      </w:pPr>
    </w:p>
    <w:p w14:paraId="215C67E9" w14:textId="77777777" w:rsidR="001B660A" w:rsidRDefault="00000000">
      <w:pPr>
        <w:pStyle w:val="Heading1"/>
        <w:spacing w:after="0"/>
        <w:rPr>
          <w:rFonts w:ascii="Google Sans" w:eastAsia="Google Sans" w:hAnsi="Google Sans" w:cs="Google Sans"/>
        </w:rPr>
      </w:pPr>
      <w:bookmarkStart w:id="10" w:name="_3as4poj" w:colFirst="0" w:colLast="0"/>
      <w:bookmarkEnd w:id="10"/>
      <w:r>
        <w:rPr>
          <w:rFonts w:ascii="Google Sans" w:eastAsia="Google Sans" w:hAnsi="Google Sans" w:cs="Google Sans"/>
        </w:rPr>
        <w:t>Différenciation pédagogique</w:t>
      </w:r>
    </w:p>
    <w:p w14:paraId="710B0BF7" w14:textId="77777777" w:rsidR="001B660A" w:rsidRDefault="001B660A">
      <w:pPr>
        <w:spacing w:after="0"/>
      </w:pPr>
    </w:p>
    <w:p w14:paraId="4FD6F705" w14:textId="77777777" w:rsidR="001B660A"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Les enseignants peuvent aussi se référer au </w:t>
      </w:r>
      <w:hyperlink r:id="rId18">
        <w:r>
          <w:rPr>
            <w:rFonts w:ascii="Google Sans" w:eastAsia="Google Sans" w:hAnsi="Google Sans" w:cs="Google Sans"/>
            <w:color w:val="1155CC"/>
            <w:u w:val="single"/>
          </w:rPr>
          <w:t>guide de différenciation</w:t>
        </w:r>
      </w:hyperlink>
      <w:r>
        <w:rPr>
          <w:rFonts w:ascii="Google Sans" w:eastAsia="Google Sans" w:hAnsi="Google Sans" w:cs="Google Sans"/>
        </w:rPr>
        <w:t xml:space="preserve"> pour tenir compte des habiletés, des intelligences multiples, des élèves doués et des élèves ALF/PANA. Les activités de ce document comportent des directives visuelles, écrites et vidéos.  </w:t>
      </w:r>
    </w:p>
    <w:p w14:paraId="04CF5110" w14:textId="77777777" w:rsidR="001B660A" w:rsidRDefault="001B660A">
      <w:pPr>
        <w:widowControl w:val="0"/>
        <w:spacing w:after="0"/>
        <w:jc w:val="left"/>
        <w:rPr>
          <w:rFonts w:ascii="Google Sans" w:eastAsia="Google Sans" w:hAnsi="Google Sans" w:cs="Google Sans"/>
        </w:rPr>
      </w:pPr>
    </w:p>
    <w:p w14:paraId="206588EA" w14:textId="77777777" w:rsidR="001B660A"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Les élèves peuvent compléter certaines activités à l’aide de l’extension </w:t>
      </w:r>
      <w:hyperlink r:id="rId19">
        <w:r>
          <w:rPr>
            <w:rFonts w:ascii="Google Sans" w:eastAsia="Google Sans" w:hAnsi="Google Sans" w:cs="Google Sans"/>
            <w:color w:val="1155CC"/>
            <w:u w:val="single"/>
          </w:rPr>
          <w:t>Google Read &amp; Write.</w:t>
        </w:r>
      </w:hyperlink>
      <w:r>
        <w:rPr>
          <w:rFonts w:ascii="Google Sans" w:eastAsia="Google Sans" w:hAnsi="Google Sans" w:cs="Google Sans"/>
        </w:rPr>
        <w:t xml:space="preserve"> (Centre d’aide pour le </w:t>
      </w:r>
      <w:hyperlink r:id="rId20">
        <w:r>
          <w:rPr>
            <w:rFonts w:ascii="Google Sans" w:eastAsia="Google Sans" w:hAnsi="Google Sans" w:cs="Google Sans"/>
            <w:color w:val="1155CC"/>
            <w:u w:val="single"/>
          </w:rPr>
          <w:t>Read &amp; Write</w:t>
        </w:r>
      </w:hyperlink>
      <w:r>
        <w:rPr>
          <w:rFonts w:ascii="Google Sans" w:eastAsia="Google Sans" w:hAnsi="Google Sans" w:cs="Google Sans"/>
        </w:rPr>
        <w:t>)</w:t>
      </w:r>
    </w:p>
    <w:sectPr w:rsidR="001B660A">
      <w:headerReference w:type="default" r:id="rId21"/>
      <w:footerReference w:type="default" r:id="rId22"/>
      <w:pgSz w:w="12240" w:h="15840"/>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54FB" w14:textId="77777777" w:rsidR="00BA12EB" w:rsidRDefault="00BA12EB">
      <w:pPr>
        <w:spacing w:after="0"/>
      </w:pPr>
      <w:r>
        <w:separator/>
      </w:r>
    </w:p>
  </w:endnote>
  <w:endnote w:type="continuationSeparator" w:id="0">
    <w:p w14:paraId="239B2843" w14:textId="77777777" w:rsidR="00BA12EB" w:rsidRDefault="00BA1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37F9" w14:textId="77777777" w:rsidR="001B660A" w:rsidRDefault="00000000">
    <w:pPr>
      <w:pBdr>
        <w:top w:val="nil"/>
        <w:left w:val="nil"/>
        <w:bottom w:val="nil"/>
        <w:right w:val="nil"/>
        <w:between w:val="nil"/>
      </w:pBdr>
      <w:tabs>
        <w:tab w:val="center" w:pos="4680"/>
        <w:tab w:val="right" w:pos="9360"/>
      </w:tabs>
      <w:spacing w:after="0"/>
      <w:jc w:val="right"/>
      <w:rPr>
        <w:b/>
        <w:color w:val="000000"/>
      </w:rPr>
    </w:pPr>
    <w:r>
      <w:rPr>
        <w:b/>
        <w:color w:val="000000"/>
      </w:rPr>
      <w:fldChar w:fldCharType="begin"/>
    </w:r>
    <w:r>
      <w:rPr>
        <w:b/>
        <w:color w:val="000000"/>
      </w:rPr>
      <w:instrText>PAGE</w:instrText>
    </w:r>
    <w:r>
      <w:rPr>
        <w:b/>
        <w:color w:val="000000"/>
      </w:rPr>
      <w:fldChar w:fldCharType="separate"/>
    </w:r>
    <w:r w:rsidR="002C0D94">
      <w:rPr>
        <w:b/>
        <w:noProof/>
        <w:color w:val="000000"/>
      </w:rPr>
      <w:t>1</w:t>
    </w:r>
    <w:r>
      <w:rPr>
        <w:b/>
        <w:color w:val="000000"/>
      </w:rPr>
      <w:fldChar w:fldCharType="end"/>
    </w:r>
  </w:p>
  <w:p w14:paraId="1DE919C2" w14:textId="77777777" w:rsidR="001B660A" w:rsidRDefault="001B660A">
    <w:pPr>
      <w:widowControl w:val="0"/>
      <w:pBdr>
        <w:top w:val="nil"/>
        <w:left w:val="nil"/>
        <w:bottom w:val="nil"/>
        <w:right w:val="nil"/>
        <w:between w:val="nil"/>
      </w:pBdr>
      <w:spacing w:after="0" w:line="276" w:lineRule="auto"/>
      <w:jc w:val="lef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45B5" w14:textId="77777777" w:rsidR="00BA12EB" w:rsidRDefault="00BA12EB">
      <w:pPr>
        <w:spacing w:after="0"/>
      </w:pPr>
      <w:r>
        <w:separator/>
      </w:r>
    </w:p>
  </w:footnote>
  <w:footnote w:type="continuationSeparator" w:id="0">
    <w:p w14:paraId="36EF92E4" w14:textId="77777777" w:rsidR="00BA12EB" w:rsidRDefault="00BA12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7847" w14:textId="77777777" w:rsidR="001B660A" w:rsidRDefault="001B660A">
    <w:pPr>
      <w:pBdr>
        <w:top w:val="nil"/>
        <w:left w:val="nil"/>
        <w:bottom w:val="nil"/>
        <w:right w:val="nil"/>
        <w:between w:val="nil"/>
      </w:pBdr>
      <w:tabs>
        <w:tab w:val="center" w:pos="4680"/>
        <w:tab w:val="right" w:pos="9360"/>
      </w:tabs>
      <w:spacing w:after="0"/>
      <w:rPr>
        <w:rFonts w:ascii="Calibri" w:eastAsia="Calibri" w:hAnsi="Calibri" w:cs="Calibri"/>
        <w:color w:val="1932FF"/>
        <w:sz w:val="38"/>
        <w:szCs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82FB4"/>
    <w:multiLevelType w:val="multilevel"/>
    <w:tmpl w:val="796EE4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BD78D8"/>
    <w:multiLevelType w:val="multilevel"/>
    <w:tmpl w:val="AD6C7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5377418">
    <w:abstractNumId w:val="1"/>
  </w:num>
  <w:num w:numId="2" w16cid:durableId="60569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0A"/>
    <w:rsid w:val="001B660A"/>
    <w:rsid w:val="002C0D94"/>
    <w:rsid w:val="00BA1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C712"/>
  <w15:docId w15:val="{AA5B13AB-13C4-4109-B937-DCA85C69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n-CA"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360"/>
      <w:jc w:val="left"/>
      <w:outlineLvl w:val="0"/>
    </w:pPr>
    <w:rPr>
      <w:rFonts w:ascii="Calibri" w:eastAsia="Calibri" w:hAnsi="Calibri" w:cs="Calibri"/>
      <w:color w:val="1932FF"/>
      <w:sz w:val="40"/>
      <w:szCs w:val="40"/>
    </w:rPr>
  </w:style>
  <w:style w:type="paragraph" w:styleId="Heading2">
    <w:name w:val="heading 2"/>
    <w:basedOn w:val="Normal"/>
    <w:next w:val="Normal"/>
    <w:uiPriority w:val="9"/>
    <w:unhideWhenUsed/>
    <w:qFormat/>
    <w:pPr>
      <w:keepNext/>
      <w:keepLines/>
      <w:spacing w:before="360" w:after="0"/>
      <w:jc w:val="left"/>
      <w:outlineLvl w:val="1"/>
    </w:pPr>
    <w:rPr>
      <w:rFonts w:ascii="Calibri" w:eastAsia="Calibri" w:hAnsi="Calibri" w:cs="Calibri"/>
      <w:color w:val="1932FF"/>
      <w:sz w:val="32"/>
      <w:szCs w:val="32"/>
    </w:rPr>
  </w:style>
  <w:style w:type="paragraph" w:styleId="Heading3">
    <w:name w:val="heading 3"/>
    <w:basedOn w:val="Normal"/>
    <w:next w:val="Normal"/>
    <w:uiPriority w:val="9"/>
    <w:unhideWhenUsed/>
    <w:qFormat/>
    <w:pPr>
      <w:keepNext/>
      <w:keepLines/>
      <w:spacing w:before="240" w:after="0"/>
      <w:jc w:val="left"/>
      <w:outlineLvl w:val="2"/>
    </w:pPr>
    <w:rPr>
      <w:rFonts w:ascii="Calibri" w:eastAsia="Calibri" w:hAnsi="Calibri" w:cs="Calibri"/>
      <w:color w:val="1932FF"/>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presentation/d/1NX3EwNxbg9gP9IgpRUEz5bSeEul76NgUqwIKJk2CBUw/edit?usp=sharing" TargetMode="External"/><Relationship Id="rId18" Type="http://schemas.openxmlformats.org/officeDocument/2006/relationships/hyperlink" Target="https://www.edugains.ca/resourcesDI/Brochures/FrenchResources/FrenchDIBrochure.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docs.google.com/presentation/d/1qWsdoZKA0qBXNUPl8M7Qti1-5MtHoFEB8PxjVd0AIUQ/edit?usp=sharing" TargetMode="External"/><Relationship Id="rId17" Type="http://schemas.openxmlformats.org/officeDocument/2006/relationships/hyperlink" Target="http://www.smho-smso.ca/" TargetMode="External"/><Relationship Id="rId2" Type="http://schemas.openxmlformats.org/officeDocument/2006/relationships/styles" Target="styles.xml"/><Relationship Id="rId16" Type="http://schemas.openxmlformats.org/officeDocument/2006/relationships/hyperlink" Target="https://www.youtube.com/watch?v=LY_39mLmqDw&amp;feature=youtu.be" TargetMode="External"/><Relationship Id="rId20" Type="http://schemas.openxmlformats.org/officeDocument/2006/relationships/hyperlink" Target="https://support.texthelp.com/help/readwrite-7fdf2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vinhub.ca/fr/information-genera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presentation/d/1dcpaXm5j56ZCNAnQVWe93YV3BpyCG0vQns-hrIGn4zU/edit?usp=sharing" TargetMode="External"/><Relationship Id="rId23" Type="http://schemas.openxmlformats.org/officeDocument/2006/relationships/fontTable" Target="fontTable.xml"/><Relationship Id="rId10" Type="http://schemas.openxmlformats.org/officeDocument/2006/relationships/hyperlink" Target="https://www.octe.ca/fr" TargetMode="External"/><Relationship Id="rId19" Type="http://schemas.openxmlformats.org/officeDocument/2006/relationships/hyperlink" Target="https://chrome.google.com/webstore/detail/readwrite-for-google-chro/inoeonmfapjbbkmdafoankkfajkcphgd" TargetMode="External"/><Relationship Id="rId4" Type="http://schemas.openxmlformats.org/officeDocument/2006/relationships/webSettings" Target="webSettings.xml"/><Relationship Id="rId9" Type="http://schemas.openxmlformats.org/officeDocument/2006/relationships/hyperlink" Target="https://www.ontario.ca/fr/page/majeure-haute-specialisation" TargetMode="External"/><Relationship Id="rId14" Type="http://schemas.openxmlformats.org/officeDocument/2006/relationships/hyperlink" Target="https://docs.google.com/presentation/d/1AgUaTzTD_J3dqG_zNuk7WBXWStFAPwNBKB7Xyd1bM14/edit?usp=shar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2023-09-29T17:59:00Z</dcterms:created>
  <dcterms:modified xsi:type="dcterms:W3CDTF">2023-09-29T17:59:00Z</dcterms:modified>
</cp:coreProperties>
</file>